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39AC2" w14:textId="384AD138" w:rsidR="00A63CA8" w:rsidRPr="004D65C3" w:rsidRDefault="00FD270B" w:rsidP="00EF7216">
      <w:pPr>
        <w:pBdr>
          <w:bottom w:val="single" w:sz="18" w:space="1" w:color="663399"/>
        </w:pBdr>
        <w:rPr>
          <w:color w:val="1B9BD5"/>
          <w:sz w:val="48"/>
          <w:szCs w:val="48"/>
        </w:rPr>
      </w:pPr>
      <w:r w:rsidRPr="004D65C3">
        <w:rPr>
          <w:rFonts w:ascii="Bell MT" w:hAnsi="Bell MT"/>
          <w:b/>
          <w:color w:val="1B9BD5"/>
          <w:sz w:val="48"/>
          <w:szCs w:val="48"/>
        </w:rPr>
        <w:t xml:space="preserve">Sexual </w:t>
      </w:r>
      <w:r w:rsidR="00DA27F6" w:rsidRPr="004D65C3">
        <w:rPr>
          <w:rFonts w:ascii="Bell MT" w:hAnsi="Bell MT"/>
          <w:b/>
          <w:color w:val="1B9BD5"/>
          <w:sz w:val="48"/>
          <w:szCs w:val="48"/>
        </w:rPr>
        <w:t>Violence</w:t>
      </w:r>
      <w:r w:rsidRPr="004D65C3">
        <w:rPr>
          <w:rFonts w:ascii="Bell MT" w:hAnsi="Bell MT"/>
          <w:b/>
          <w:color w:val="1B9BD5"/>
          <w:sz w:val="48"/>
          <w:szCs w:val="48"/>
        </w:rPr>
        <w:t xml:space="preserve"> in </w:t>
      </w:r>
      <w:r w:rsidR="001C56F1" w:rsidRPr="004D65C3">
        <w:rPr>
          <w:rFonts w:ascii="Bell MT" w:hAnsi="Bell MT"/>
          <w:b/>
          <w:color w:val="1B9BD5"/>
          <w:sz w:val="48"/>
          <w:szCs w:val="48"/>
        </w:rPr>
        <w:t>Rural Communities</w:t>
      </w:r>
    </w:p>
    <w:p w14:paraId="3FBB80B9" w14:textId="5E421278" w:rsidR="001D6A91" w:rsidRPr="004D65C3" w:rsidRDefault="008A0C13" w:rsidP="007406C0">
      <w:pPr>
        <w:pStyle w:val="Default"/>
        <w:spacing w:before="120" w:after="60" w:line="259" w:lineRule="auto"/>
        <w:jc w:val="both"/>
        <w:rPr>
          <w:b/>
          <w:bCs/>
          <w:sz w:val="28"/>
          <w:szCs w:val="28"/>
        </w:rPr>
      </w:pPr>
      <w:r w:rsidRPr="004D65C3">
        <w:rPr>
          <w:b/>
          <w:bCs/>
          <w:sz w:val="28"/>
          <w:szCs w:val="28"/>
        </w:rPr>
        <w:t>Introduction</w:t>
      </w:r>
    </w:p>
    <w:p w14:paraId="14E9E7FC" w14:textId="4751D0C7" w:rsidR="001C56F1" w:rsidRPr="004D65C3" w:rsidRDefault="00775C42" w:rsidP="00226649">
      <w:pPr>
        <w:pStyle w:val="Default"/>
        <w:spacing w:after="60" w:line="259" w:lineRule="auto"/>
        <w:jc w:val="both"/>
        <w:rPr>
          <w:sz w:val="23"/>
          <w:szCs w:val="23"/>
        </w:rPr>
      </w:pPr>
      <w:r w:rsidRPr="006C6583">
        <w:rPr>
          <w:rFonts w:cstheme="minorHAnsi"/>
          <w:noProof/>
        </w:rPr>
        <mc:AlternateContent>
          <mc:Choice Requires="wps">
            <w:drawing>
              <wp:anchor distT="0" distB="0" distL="114300" distR="114300" simplePos="0" relativeHeight="251666432" behindDoc="0" locked="0" layoutInCell="1" allowOverlap="1" wp14:anchorId="2999508A" wp14:editId="5E9CEB5C">
                <wp:simplePos x="0" y="0"/>
                <wp:positionH relativeFrom="column">
                  <wp:posOffset>-1346200</wp:posOffset>
                </wp:positionH>
                <wp:positionV relativeFrom="paragraph">
                  <wp:posOffset>388620</wp:posOffset>
                </wp:positionV>
                <wp:extent cx="2132330" cy="557530"/>
                <wp:effectExtent l="711200" t="0" r="712470" b="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32330" cy="557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A60E57" w14:textId="77777777" w:rsidR="00775C42" w:rsidRDefault="00775C42" w:rsidP="00775C42">
                            <w:pPr>
                              <w:rPr>
                                <w:rFonts w:ascii="Bell MT" w:hAnsi="Bell MT"/>
                                <w:b/>
                                <w:color w:val="1B9BD5"/>
                                <w:sz w:val="48"/>
                                <w:szCs w:val="48"/>
                              </w:rPr>
                            </w:pPr>
                            <w:r>
                              <w:rPr>
                                <w:rFonts w:ascii="Bell MT" w:hAnsi="Bell MT"/>
                                <w:b/>
                                <w:color w:val="1B9BD5"/>
                                <w:sz w:val="48"/>
                                <w:szCs w:val="48"/>
                              </w:rPr>
                              <w:t>FACT SHEET</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99508A" id="_x0000_t202" coordsize="21600,21600" o:spt="202" path="m,l,21600r21600,l21600,xe">
                <v:stroke joinstyle="miter"/>
                <v:path gradientshapeok="t" o:connecttype="rect"/>
              </v:shapetype>
              <v:shape id="Text Box 2" o:spid="_x0000_s1026" type="#_x0000_t202" alt="&quot;&quot;" style="position:absolute;left:0;text-align:left;margin-left:-106pt;margin-top:30.6pt;width:167.9pt;height:43.9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" filled="f" stroked="f" strokeweight=".5pt">
                <v:textbox style="layout-flow:vertical;mso-layout-flow-alt:bottom-to-top">
                  <w:txbxContent>
                    <w:p w14:paraId="11A60E57" w14:textId="77777777" w:rsidR="00775C42" w:rsidRDefault="00775C42" w:rsidP="00775C42">
                      <w:pPr>
                        <w:rPr>
                          <w:rFonts w:ascii="Bell MT" w:hAnsi="Bell MT"/>
                          <w:b/>
                          <w:color w:val="1B9BD5"/>
                          <w:sz w:val="48"/>
                          <w:szCs w:val="48"/>
                        </w:rPr>
                      </w:pPr>
                      <w:r>
                        <w:rPr>
                          <w:rFonts w:ascii="Bell MT" w:hAnsi="Bell MT"/>
                          <w:b/>
                          <w:color w:val="1B9BD5"/>
                          <w:sz w:val="48"/>
                          <w:szCs w:val="48"/>
                        </w:rPr>
                        <w:t>FACT SHEET</w:t>
                      </w:r>
                    </w:p>
                  </w:txbxContent>
                </v:textbox>
              </v:shape>
            </w:pict>
          </mc:Fallback>
        </mc:AlternateContent>
      </w:r>
      <w:r w:rsidR="00386C63" w:rsidRPr="00386C63">
        <w:rPr>
          <w:sz w:val="23"/>
          <w:szCs w:val="23"/>
        </w:rPr>
        <w:t>According to a Maryland Rape Prevention and Education Program Needs Assessment Phase 1 Report, prepared for Maryland Rape and Sexual Assault Program</w:t>
      </w:r>
      <w:r w:rsidR="00386C63">
        <w:rPr>
          <w:sz w:val="23"/>
          <w:szCs w:val="23"/>
        </w:rPr>
        <w:t>s, s</w:t>
      </w:r>
      <w:r w:rsidR="00331EE5" w:rsidRPr="004D65C3">
        <w:rPr>
          <w:sz w:val="23"/>
          <w:szCs w:val="23"/>
        </w:rPr>
        <w:t>exual violence survivors from underserved populations</w:t>
      </w:r>
      <w:r w:rsidR="00633CF4">
        <w:rPr>
          <w:sz w:val="23"/>
          <w:szCs w:val="23"/>
        </w:rPr>
        <w:t>,</w:t>
      </w:r>
      <w:r w:rsidR="00331EE5" w:rsidRPr="004D65C3">
        <w:rPr>
          <w:sz w:val="23"/>
          <w:szCs w:val="23"/>
        </w:rPr>
        <w:t xml:space="preserve"> such as people of color, members of the LGBTQ+ community, and individuals in rural communities</w:t>
      </w:r>
      <w:r w:rsidR="00633CF4">
        <w:rPr>
          <w:sz w:val="23"/>
          <w:szCs w:val="23"/>
        </w:rPr>
        <w:t>,</w:t>
      </w:r>
      <w:r w:rsidR="00331EE5" w:rsidRPr="004D65C3">
        <w:rPr>
          <w:sz w:val="23"/>
          <w:szCs w:val="23"/>
        </w:rPr>
        <w:t xml:space="preserve"> are more likely to experience additional barriers to accessing supportive sexual violence resources and services.</w:t>
      </w:r>
      <w:r w:rsidR="00FB35C9" w:rsidRPr="004D65C3">
        <w:rPr>
          <w:sz w:val="23"/>
          <w:szCs w:val="23"/>
        </w:rPr>
        <w:t xml:space="preserve"> </w:t>
      </w:r>
      <w:r w:rsidR="006F1C3C" w:rsidRPr="004D65C3">
        <w:rPr>
          <w:sz w:val="23"/>
          <w:szCs w:val="23"/>
        </w:rPr>
        <w:t>This may be because of systems of oppression</w:t>
      </w:r>
      <w:r w:rsidR="00633CF4">
        <w:rPr>
          <w:sz w:val="23"/>
          <w:szCs w:val="23"/>
        </w:rPr>
        <w:t>,</w:t>
      </w:r>
      <w:r w:rsidR="006F1C3C" w:rsidRPr="004D65C3">
        <w:rPr>
          <w:sz w:val="23"/>
          <w:szCs w:val="23"/>
        </w:rPr>
        <w:t xml:space="preserve"> </w:t>
      </w:r>
      <w:r w:rsidR="00633CF4">
        <w:rPr>
          <w:sz w:val="23"/>
          <w:szCs w:val="23"/>
        </w:rPr>
        <w:t>like</w:t>
      </w:r>
      <w:r w:rsidR="006F1C3C" w:rsidRPr="004D65C3">
        <w:rPr>
          <w:sz w:val="23"/>
          <w:szCs w:val="23"/>
        </w:rPr>
        <w:t xml:space="preserve"> racism, sexism, ableism, ageism, etc.</w:t>
      </w:r>
      <w:r w:rsidR="00633CF4">
        <w:rPr>
          <w:sz w:val="23"/>
          <w:szCs w:val="23"/>
        </w:rPr>
        <w:t>,</w:t>
      </w:r>
      <w:r w:rsidR="006F1C3C" w:rsidRPr="004D65C3">
        <w:rPr>
          <w:sz w:val="23"/>
          <w:szCs w:val="23"/>
        </w:rPr>
        <w:t xml:space="preserve"> which give some people more power in society while </w:t>
      </w:r>
      <w:r w:rsidR="00633CF4">
        <w:rPr>
          <w:sz w:val="23"/>
          <w:szCs w:val="23"/>
        </w:rPr>
        <w:t xml:space="preserve">causing </w:t>
      </w:r>
      <w:r w:rsidR="006F1C3C" w:rsidRPr="004D65C3">
        <w:rPr>
          <w:sz w:val="23"/>
          <w:szCs w:val="23"/>
        </w:rPr>
        <w:t>others</w:t>
      </w:r>
      <w:r w:rsidR="00633CF4">
        <w:rPr>
          <w:sz w:val="23"/>
          <w:szCs w:val="23"/>
        </w:rPr>
        <w:t xml:space="preserve"> to</w:t>
      </w:r>
      <w:r w:rsidR="006F1C3C" w:rsidRPr="004D65C3">
        <w:rPr>
          <w:sz w:val="23"/>
          <w:szCs w:val="23"/>
        </w:rPr>
        <w:t xml:space="preserve"> face additional barriers to accessing the same resources or services.</w:t>
      </w:r>
      <w:r w:rsidR="006F1C3C" w:rsidRPr="004D65C3">
        <w:rPr>
          <w:rStyle w:val="FootnoteReference"/>
          <w:sz w:val="23"/>
          <w:szCs w:val="23"/>
        </w:rPr>
        <w:footnoteReference w:id="1"/>
      </w:r>
    </w:p>
    <w:p w14:paraId="3F43428D" w14:textId="350137F5" w:rsidR="006F1C3C" w:rsidRPr="004D65C3" w:rsidRDefault="006D2E62" w:rsidP="00226649">
      <w:pPr>
        <w:pStyle w:val="Default"/>
        <w:spacing w:after="60" w:line="259" w:lineRule="auto"/>
        <w:jc w:val="both"/>
        <w:rPr>
          <w:sz w:val="23"/>
          <w:szCs w:val="23"/>
        </w:rPr>
      </w:pPr>
      <w:r w:rsidRPr="004D65C3">
        <w:rPr>
          <w:sz w:val="23"/>
          <w:szCs w:val="23"/>
        </w:rPr>
        <w:t>Rural communities are a unique subset of underserved populations because rural communities face additional barriers to accessing services that urban and suburban communities may not. These additional barriers may include access to reliable transportation or specialty healthcare providers</w:t>
      </w:r>
      <w:r w:rsidR="00633CF4">
        <w:rPr>
          <w:sz w:val="23"/>
          <w:szCs w:val="23"/>
        </w:rPr>
        <w:t>;</w:t>
      </w:r>
      <w:r w:rsidRPr="004D65C3">
        <w:rPr>
          <w:rStyle w:val="FootnoteReference"/>
          <w:sz w:val="23"/>
          <w:szCs w:val="23"/>
        </w:rPr>
        <w:footnoteReference w:id="2"/>
      </w:r>
      <w:r w:rsidRPr="004D65C3">
        <w:rPr>
          <w:sz w:val="23"/>
          <w:szCs w:val="23"/>
        </w:rPr>
        <w:t xml:space="preserve"> access to reliable internet or broadband</w:t>
      </w:r>
      <w:r w:rsidR="00633CF4">
        <w:rPr>
          <w:sz w:val="23"/>
          <w:szCs w:val="23"/>
        </w:rPr>
        <w:t>;</w:t>
      </w:r>
      <w:r w:rsidR="00A034EF" w:rsidRPr="004D65C3">
        <w:rPr>
          <w:rStyle w:val="FootnoteReference"/>
          <w:sz w:val="23"/>
          <w:szCs w:val="23"/>
        </w:rPr>
        <w:footnoteReference w:id="3"/>
      </w:r>
      <w:r w:rsidR="00A034EF" w:rsidRPr="004D65C3">
        <w:rPr>
          <w:sz w:val="23"/>
          <w:szCs w:val="23"/>
          <w:vertAlign w:val="superscript"/>
        </w:rPr>
        <w:t>,</w:t>
      </w:r>
      <w:r w:rsidR="00A034EF" w:rsidRPr="004D65C3">
        <w:rPr>
          <w:rStyle w:val="FootnoteReference"/>
          <w:sz w:val="23"/>
          <w:szCs w:val="23"/>
        </w:rPr>
        <w:footnoteReference w:id="4"/>
      </w:r>
      <w:r w:rsidR="00A034EF" w:rsidRPr="004D65C3">
        <w:rPr>
          <w:sz w:val="23"/>
          <w:szCs w:val="23"/>
        </w:rPr>
        <w:t xml:space="preserve"> </w:t>
      </w:r>
      <w:r w:rsidR="007A1794" w:rsidRPr="004D65C3">
        <w:rPr>
          <w:sz w:val="23"/>
          <w:szCs w:val="23"/>
        </w:rPr>
        <w:t xml:space="preserve">access to </w:t>
      </w:r>
      <w:proofErr w:type="gramStart"/>
      <w:r w:rsidR="007A1794" w:rsidRPr="004D65C3">
        <w:rPr>
          <w:sz w:val="23"/>
          <w:szCs w:val="23"/>
        </w:rPr>
        <w:t>financial</w:t>
      </w:r>
      <w:proofErr w:type="gramEnd"/>
      <w:r w:rsidR="007A1794" w:rsidRPr="004D65C3">
        <w:rPr>
          <w:sz w:val="23"/>
          <w:szCs w:val="23"/>
        </w:rPr>
        <w:t>, housing, and food security</w:t>
      </w:r>
      <w:r w:rsidR="00633CF4">
        <w:rPr>
          <w:sz w:val="23"/>
          <w:szCs w:val="23"/>
        </w:rPr>
        <w:t>;</w:t>
      </w:r>
      <w:r w:rsidR="007A1794" w:rsidRPr="004D65C3">
        <w:rPr>
          <w:rStyle w:val="FootnoteReference"/>
          <w:sz w:val="23"/>
          <w:szCs w:val="23"/>
        </w:rPr>
        <w:footnoteReference w:id="5"/>
      </w:r>
      <w:r w:rsidR="007A1794" w:rsidRPr="004D65C3">
        <w:rPr>
          <w:sz w:val="23"/>
          <w:szCs w:val="23"/>
        </w:rPr>
        <w:t xml:space="preserve"> and more. </w:t>
      </w:r>
      <w:r w:rsidR="005C5D59" w:rsidRPr="004D65C3">
        <w:rPr>
          <w:sz w:val="23"/>
          <w:szCs w:val="23"/>
        </w:rPr>
        <w:t>These barriers may be due to geography, transportation</w:t>
      </w:r>
      <w:r w:rsidR="00633CF4">
        <w:rPr>
          <w:sz w:val="23"/>
          <w:szCs w:val="23"/>
        </w:rPr>
        <w:t>,</w:t>
      </w:r>
      <w:r w:rsidR="005C5D59" w:rsidRPr="004D65C3">
        <w:rPr>
          <w:sz w:val="23"/>
          <w:szCs w:val="23"/>
        </w:rPr>
        <w:t xml:space="preserve"> and internet or broadband infrastructure, and urban jobs paying higher than rural ones which may influence service providers to take jobs outside of rural areas. While rural communities face these additional challenges, there may also be rural survivors of sexual violence who are a part of other underserved populations</w:t>
      </w:r>
      <w:r w:rsidR="00633CF4">
        <w:rPr>
          <w:sz w:val="23"/>
          <w:szCs w:val="23"/>
        </w:rPr>
        <w:t>,</w:t>
      </w:r>
      <w:r w:rsidR="005C5D59" w:rsidRPr="004D65C3">
        <w:rPr>
          <w:sz w:val="23"/>
          <w:szCs w:val="23"/>
        </w:rPr>
        <w:t xml:space="preserve"> too. For example, a rural survivor of color, rural survivor with a disability, or rural survivor from the LGBTQ+ community may experience more barriers to accessing services or support due to their intersecting identities which can influence how society treats them and how they navigate different types of support.</w:t>
      </w:r>
      <w:r w:rsidR="005C5D59" w:rsidRPr="004D65C3">
        <w:rPr>
          <w:rStyle w:val="FootnoteReference"/>
          <w:sz w:val="23"/>
          <w:szCs w:val="23"/>
        </w:rPr>
        <w:footnoteReference w:id="6"/>
      </w:r>
    </w:p>
    <w:p w14:paraId="4C5F6D1A" w14:textId="74FB9920" w:rsidR="00474743" w:rsidRPr="004D65C3" w:rsidRDefault="00F24BC3" w:rsidP="00226649">
      <w:pPr>
        <w:pStyle w:val="Default"/>
        <w:spacing w:after="60" w:line="259" w:lineRule="auto"/>
        <w:jc w:val="both"/>
        <w:rPr>
          <w:sz w:val="23"/>
          <w:szCs w:val="23"/>
        </w:rPr>
      </w:pPr>
      <w:r w:rsidRPr="004D65C3">
        <w:rPr>
          <w:sz w:val="23"/>
          <w:szCs w:val="23"/>
        </w:rPr>
        <w:t xml:space="preserve">According to the Maryland State Office of Rural Health, </w:t>
      </w:r>
      <w:r w:rsidRPr="00633CF4">
        <w:rPr>
          <w:b/>
          <w:bCs/>
          <w:sz w:val="23"/>
          <w:szCs w:val="23"/>
        </w:rPr>
        <w:t>18</w:t>
      </w:r>
      <w:r w:rsidRPr="004D65C3">
        <w:rPr>
          <w:sz w:val="23"/>
          <w:szCs w:val="23"/>
        </w:rPr>
        <w:t xml:space="preserve"> of Maryland’s 24 jurisdictions are defined as “rural</w:t>
      </w:r>
      <w:r w:rsidR="00B43583">
        <w:rPr>
          <w:sz w:val="23"/>
          <w:szCs w:val="23"/>
        </w:rPr>
        <w:t>.</w:t>
      </w:r>
      <w:r w:rsidRPr="004D65C3">
        <w:rPr>
          <w:sz w:val="23"/>
          <w:szCs w:val="23"/>
        </w:rPr>
        <w:t>”</w:t>
      </w:r>
      <w:r w:rsidRPr="004D65C3">
        <w:rPr>
          <w:rStyle w:val="FootnoteReference"/>
          <w:sz w:val="23"/>
          <w:szCs w:val="23"/>
        </w:rPr>
        <w:footnoteReference w:id="7"/>
      </w:r>
      <w:r w:rsidRPr="004D65C3">
        <w:rPr>
          <w:sz w:val="23"/>
          <w:szCs w:val="23"/>
        </w:rPr>
        <w:t xml:space="preserve"> </w:t>
      </w:r>
      <w:r w:rsidR="00474743" w:rsidRPr="004D65C3">
        <w:rPr>
          <w:sz w:val="23"/>
          <w:szCs w:val="23"/>
        </w:rPr>
        <w:t>Maryland’s rural counties are Allegany, Calvert, Caroline, Carroll, Cecil, Charles, Dorchester, Frederick, Garrett, Harford, Kent, Queen Anne’s Somerset, St. Mary’s, Talbot, Washington, Wicomico, and Worcester.</w:t>
      </w:r>
      <w:r w:rsidR="00474743" w:rsidRPr="004D65C3">
        <w:rPr>
          <w:rStyle w:val="FootnoteReference"/>
          <w:sz w:val="23"/>
          <w:szCs w:val="23"/>
        </w:rPr>
        <w:footnoteReference w:id="8"/>
      </w:r>
    </w:p>
    <w:p w14:paraId="1D187C6C" w14:textId="77777777" w:rsidR="00474743" w:rsidRPr="004D65C3" w:rsidRDefault="00474743" w:rsidP="00F2064A">
      <w:pPr>
        <w:pStyle w:val="Default"/>
        <w:spacing w:before="240" w:after="60" w:line="259" w:lineRule="auto"/>
        <w:jc w:val="both"/>
        <w:rPr>
          <w:sz w:val="28"/>
          <w:szCs w:val="28"/>
        </w:rPr>
      </w:pPr>
      <w:r w:rsidRPr="004D65C3">
        <w:rPr>
          <w:b/>
          <w:bCs/>
          <w:sz w:val="28"/>
          <w:szCs w:val="28"/>
        </w:rPr>
        <w:t>Statistics</w:t>
      </w:r>
    </w:p>
    <w:p w14:paraId="3F247F61" w14:textId="26104157" w:rsidR="00526829" w:rsidRPr="005A034A" w:rsidRDefault="00474743" w:rsidP="007406C0">
      <w:pPr>
        <w:pStyle w:val="Default"/>
        <w:spacing w:after="60" w:line="259" w:lineRule="auto"/>
        <w:jc w:val="both"/>
        <w:rPr>
          <w:rFonts w:asciiTheme="minorHAnsi" w:hAnsiTheme="minorHAnsi" w:cstheme="minorHAnsi"/>
          <w:i/>
          <w:iCs/>
          <w:sz w:val="23"/>
          <w:szCs w:val="23"/>
        </w:rPr>
      </w:pPr>
      <w:r w:rsidRPr="005A034A">
        <w:rPr>
          <w:rFonts w:asciiTheme="minorHAnsi" w:hAnsiTheme="minorHAnsi" w:cstheme="minorHAnsi"/>
          <w:sz w:val="23"/>
          <w:szCs w:val="23"/>
        </w:rPr>
        <w:t>There is limited available data on the prevalence of sexual assault in rural areas within Maryland and the U.S. because sexual assault is often underreported in rural areas.</w:t>
      </w:r>
      <w:r w:rsidRPr="005A034A">
        <w:rPr>
          <w:rStyle w:val="FootnoteReference"/>
          <w:rFonts w:asciiTheme="minorHAnsi" w:hAnsiTheme="minorHAnsi" w:cstheme="minorHAnsi"/>
          <w:sz w:val="23"/>
          <w:szCs w:val="23"/>
        </w:rPr>
        <w:footnoteReference w:id="9"/>
      </w:r>
      <w:r w:rsidR="009E1F03" w:rsidRPr="005A034A">
        <w:rPr>
          <w:rFonts w:asciiTheme="minorHAnsi" w:hAnsiTheme="minorHAnsi" w:cstheme="minorHAnsi"/>
          <w:sz w:val="23"/>
          <w:szCs w:val="23"/>
        </w:rPr>
        <w:t xml:space="preserve"> </w:t>
      </w:r>
      <w:r w:rsidR="009E1F03" w:rsidRPr="005A034A">
        <w:rPr>
          <w:rFonts w:asciiTheme="minorHAnsi" w:hAnsiTheme="minorHAnsi" w:cstheme="minorHAnsi"/>
          <w:i/>
          <w:iCs/>
          <w:sz w:val="23"/>
          <w:szCs w:val="23"/>
        </w:rPr>
        <w:t xml:space="preserve">For more information on why sexual assault </w:t>
      </w:r>
      <w:r w:rsidR="00437DD1" w:rsidRPr="005A034A">
        <w:rPr>
          <w:rFonts w:asciiTheme="minorHAnsi" w:hAnsiTheme="minorHAnsi" w:cstheme="minorHAnsi"/>
          <w:i/>
          <w:iCs/>
          <w:sz w:val="23"/>
          <w:szCs w:val="23"/>
        </w:rPr>
        <w:t>often goes</w:t>
      </w:r>
      <w:r w:rsidR="009E1F03" w:rsidRPr="005A034A">
        <w:rPr>
          <w:rFonts w:asciiTheme="minorHAnsi" w:hAnsiTheme="minorHAnsi" w:cstheme="minorHAnsi"/>
          <w:i/>
          <w:iCs/>
          <w:sz w:val="23"/>
          <w:szCs w:val="23"/>
        </w:rPr>
        <w:t xml:space="preserve"> underreported, refer</w:t>
      </w:r>
      <w:r w:rsidR="00D45650" w:rsidRPr="005A034A">
        <w:rPr>
          <w:rFonts w:asciiTheme="minorHAnsi" w:hAnsiTheme="minorHAnsi" w:cstheme="minorHAnsi"/>
          <w:i/>
          <w:iCs/>
          <w:sz w:val="23"/>
          <w:szCs w:val="23"/>
        </w:rPr>
        <w:t xml:space="preserve"> to</w:t>
      </w:r>
      <w:r w:rsidR="009E1F03" w:rsidRPr="005A034A">
        <w:rPr>
          <w:rFonts w:asciiTheme="minorHAnsi" w:hAnsiTheme="minorHAnsi" w:cstheme="minorHAnsi"/>
          <w:i/>
          <w:iCs/>
          <w:sz w:val="23"/>
          <w:szCs w:val="23"/>
        </w:rPr>
        <w:t xml:space="preserve"> </w:t>
      </w:r>
      <w:hyperlink r:id="rId8" w:history="1">
        <w:r w:rsidR="00526829" w:rsidRPr="005A034A">
          <w:rPr>
            <w:rStyle w:val="Hyperlink"/>
            <w:rFonts w:asciiTheme="minorHAnsi" w:hAnsiTheme="minorHAnsi" w:cstheme="minorHAnsi"/>
            <w:i/>
            <w:iCs/>
            <w:color w:val="1155CC"/>
            <w:sz w:val="23"/>
            <w:szCs w:val="23"/>
          </w:rPr>
          <w:t>MCASA’s fact sheet on “Why Survivors Don’t Report</w:t>
        </w:r>
        <w:r w:rsidR="00D45650" w:rsidRPr="005A034A">
          <w:rPr>
            <w:rStyle w:val="Hyperlink"/>
            <w:rFonts w:asciiTheme="minorHAnsi" w:hAnsiTheme="minorHAnsi" w:cstheme="minorHAnsi"/>
            <w:i/>
            <w:iCs/>
            <w:color w:val="1155CC"/>
            <w:sz w:val="23"/>
            <w:szCs w:val="23"/>
          </w:rPr>
          <w:t>.</w:t>
        </w:r>
        <w:r w:rsidR="00526829" w:rsidRPr="005A034A">
          <w:rPr>
            <w:rStyle w:val="Hyperlink"/>
            <w:rFonts w:asciiTheme="minorHAnsi" w:hAnsiTheme="minorHAnsi" w:cstheme="minorHAnsi"/>
            <w:i/>
            <w:iCs/>
            <w:color w:val="1155CC"/>
            <w:sz w:val="23"/>
            <w:szCs w:val="23"/>
          </w:rPr>
          <w:t>”</w:t>
        </w:r>
      </w:hyperlink>
      <w:r w:rsidR="00526829" w:rsidRPr="005A034A">
        <w:rPr>
          <w:rFonts w:asciiTheme="minorHAnsi" w:hAnsiTheme="minorHAnsi" w:cstheme="minorHAnsi"/>
          <w:i/>
          <w:iCs/>
          <w:sz w:val="23"/>
          <w:szCs w:val="23"/>
        </w:rPr>
        <w:t> </w:t>
      </w:r>
    </w:p>
    <w:p w14:paraId="59A4BF40" w14:textId="77777777" w:rsidR="004D65C3" w:rsidRPr="004D65C3" w:rsidRDefault="00291BE9" w:rsidP="004D65C3">
      <w:pPr>
        <w:pStyle w:val="Default"/>
        <w:spacing w:after="60" w:line="259" w:lineRule="auto"/>
        <w:jc w:val="both"/>
        <w:rPr>
          <w:rFonts w:asciiTheme="minorHAnsi" w:hAnsiTheme="minorHAnsi" w:cstheme="minorHAnsi"/>
          <w:sz w:val="23"/>
          <w:szCs w:val="23"/>
        </w:rPr>
      </w:pPr>
      <w:r w:rsidRPr="004D65C3">
        <w:rPr>
          <w:rFonts w:asciiTheme="minorHAnsi" w:hAnsiTheme="minorHAnsi" w:cstheme="minorHAnsi"/>
          <w:sz w:val="23"/>
          <w:szCs w:val="23"/>
        </w:rPr>
        <w:t>However, according to the CDC, the following factors could put someone at a higher risk of experiencing sexual violence perpetration: poverty, a lack of employment opportunities, and a general tolerance of sexual violence within the community.</w:t>
      </w:r>
      <w:r w:rsidRPr="004D65C3">
        <w:rPr>
          <w:rStyle w:val="FootnoteReference"/>
          <w:rFonts w:asciiTheme="minorHAnsi" w:hAnsiTheme="minorHAnsi" w:cstheme="minorHAnsi"/>
          <w:sz w:val="23"/>
          <w:szCs w:val="23"/>
        </w:rPr>
        <w:footnoteReference w:id="10"/>
      </w:r>
      <w:r w:rsidR="00D45650" w:rsidRPr="004D65C3">
        <w:rPr>
          <w:rFonts w:asciiTheme="minorHAnsi" w:hAnsiTheme="minorHAnsi" w:cstheme="minorHAnsi"/>
          <w:sz w:val="23"/>
          <w:szCs w:val="23"/>
        </w:rPr>
        <w:t xml:space="preserve"> Many of these factors are present in rural Maryland.</w:t>
      </w:r>
    </w:p>
    <w:p w14:paraId="26F1543A" w14:textId="77777777" w:rsidR="00437DD1" w:rsidRDefault="00437DD1" w:rsidP="004D65C3">
      <w:pPr>
        <w:pStyle w:val="NoSpacing"/>
        <w:rPr>
          <w:sz w:val="16"/>
          <w:szCs w:val="16"/>
        </w:rPr>
      </w:pPr>
    </w:p>
    <w:p w14:paraId="023F491E" w14:textId="77777777" w:rsidR="00633CF4" w:rsidRPr="00437DD1" w:rsidRDefault="00633CF4" w:rsidP="004D65C3">
      <w:pPr>
        <w:pStyle w:val="NoSpacing"/>
        <w:rPr>
          <w:sz w:val="16"/>
          <w:szCs w:val="16"/>
        </w:rPr>
      </w:pPr>
    </w:p>
    <w:p w14:paraId="0CF07924" w14:textId="27189B5C" w:rsidR="00B43583" w:rsidRDefault="007406C0" w:rsidP="006A197C">
      <w:pPr>
        <w:pStyle w:val="Default"/>
        <w:spacing w:after="60" w:line="259" w:lineRule="auto"/>
        <w:jc w:val="both"/>
        <w:rPr>
          <w:rFonts w:asciiTheme="minorHAnsi" w:hAnsiTheme="minorHAnsi" w:cstheme="minorHAnsi"/>
          <w:b/>
          <w:bCs/>
          <w:sz w:val="23"/>
          <w:szCs w:val="23"/>
        </w:rPr>
      </w:pPr>
      <w:r w:rsidRPr="004D65C3">
        <w:rPr>
          <w:rFonts w:asciiTheme="minorHAnsi" w:hAnsiTheme="minorHAnsi" w:cstheme="minorHAnsi"/>
          <w:sz w:val="23"/>
          <w:szCs w:val="23"/>
        </w:rPr>
        <w:t xml:space="preserve">The U.S. Census Bureau collects </w:t>
      </w:r>
      <w:r w:rsidR="00437DD1">
        <w:rPr>
          <w:rFonts w:asciiTheme="minorHAnsi" w:hAnsiTheme="minorHAnsi" w:cstheme="minorHAnsi"/>
          <w:sz w:val="23"/>
          <w:szCs w:val="23"/>
        </w:rPr>
        <w:t xml:space="preserve">statewide </w:t>
      </w:r>
      <w:r w:rsidRPr="004D65C3">
        <w:rPr>
          <w:rFonts w:asciiTheme="minorHAnsi" w:hAnsiTheme="minorHAnsi" w:cstheme="minorHAnsi"/>
          <w:sz w:val="23"/>
          <w:szCs w:val="23"/>
        </w:rPr>
        <w:t>data</w:t>
      </w:r>
      <w:r w:rsidR="00437DD1">
        <w:rPr>
          <w:rFonts w:asciiTheme="minorHAnsi" w:hAnsiTheme="minorHAnsi" w:cstheme="minorHAnsi"/>
          <w:sz w:val="23"/>
          <w:szCs w:val="23"/>
        </w:rPr>
        <w:t>, including data</w:t>
      </w:r>
      <w:r w:rsidRPr="004D65C3">
        <w:rPr>
          <w:rFonts w:asciiTheme="minorHAnsi" w:hAnsiTheme="minorHAnsi" w:cstheme="minorHAnsi"/>
          <w:sz w:val="23"/>
          <w:szCs w:val="23"/>
        </w:rPr>
        <w:t xml:space="preserve"> on Maryland’s rural counties and the average commute time to work,</w:t>
      </w:r>
      <w:r w:rsidR="004D65C3" w:rsidRPr="004D65C3">
        <w:rPr>
          <w:rFonts w:asciiTheme="minorHAnsi" w:hAnsiTheme="minorHAnsi" w:cstheme="minorHAnsi"/>
          <w:sz w:val="23"/>
          <w:szCs w:val="23"/>
        </w:rPr>
        <w:t xml:space="preserve"> percentage of residents without healthcare coverage, employment rate</w:t>
      </w:r>
      <w:r w:rsidR="00437DD1">
        <w:rPr>
          <w:rFonts w:asciiTheme="minorHAnsi" w:hAnsiTheme="minorHAnsi" w:cstheme="minorHAnsi"/>
          <w:sz w:val="23"/>
          <w:szCs w:val="23"/>
        </w:rPr>
        <w:t>s</w:t>
      </w:r>
      <w:r w:rsidR="004D65C3" w:rsidRPr="004D65C3">
        <w:rPr>
          <w:rFonts w:asciiTheme="minorHAnsi" w:hAnsiTheme="minorHAnsi" w:cstheme="minorHAnsi"/>
          <w:sz w:val="23"/>
          <w:szCs w:val="23"/>
        </w:rPr>
        <w:t>, and poverty rates. This information is shown in the graphs below.</w:t>
      </w:r>
      <w:r w:rsidR="00437DD1">
        <w:rPr>
          <w:rFonts w:asciiTheme="minorHAnsi" w:hAnsiTheme="minorHAnsi" w:cstheme="minorHAnsi"/>
          <w:sz w:val="23"/>
          <w:szCs w:val="23"/>
        </w:rPr>
        <w:t xml:space="preserve"> </w:t>
      </w:r>
      <w:r w:rsidR="00D82B9C" w:rsidRPr="004D65C3">
        <w:rPr>
          <w:rStyle w:val="FootnoteReference"/>
          <w:rFonts w:asciiTheme="minorHAnsi" w:hAnsiTheme="minorHAnsi" w:cstheme="minorHAnsi"/>
          <w:sz w:val="23"/>
          <w:szCs w:val="23"/>
        </w:rPr>
        <w:footnoteReference w:id="11"/>
      </w:r>
      <w:r w:rsidR="00F2064A" w:rsidRPr="004D65C3">
        <w:rPr>
          <w:rFonts w:asciiTheme="minorHAnsi" w:hAnsiTheme="minorHAnsi" w:cstheme="minorHAnsi"/>
          <w:sz w:val="23"/>
          <w:szCs w:val="23"/>
          <w:vertAlign w:val="superscript"/>
        </w:rPr>
        <w:t>,</w:t>
      </w:r>
      <w:r w:rsidR="00D82B9C" w:rsidRPr="004D65C3">
        <w:rPr>
          <w:rStyle w:val="FootnoteReference"/>
          <w:rFonts w:asciiTheme="minorHAnsi" w:hAnsiTheme="minorHAnsi" w:cstheme="minorHAnsi"/>
          <w:sz w:val="23"/>
          <w:szCs w:val="23"/>
        </w:rPr>
        <w:footnoteReference w:id="12"/>
      </w:r>
      <w:r w:rsidR="00F17522" w:rsidRPr="004D65C3">
        <w:rPr>
          <w:rFonts w:asciiTheme="minorHAnsi" w:hAnsiTheme="minorHAnsi" w:cstheme="minorHAnsi"/>
          <w:sz w:val="23"/>
          <w:szCs w:val="23"/>
          <w:vertAlign w:val="superscript"/>
        </w:rPr>
        <w:t>,</w:t>
      </w:r>
      <w:r w:rsidR="00F17522" w:rsidRPr="004D65C3">
        <w:rPr>
          <w:rStyle w:val="FootnoteReference"/>
          <w:rFonts w:asciiTheme="minorHAnsi" w:hAnsiTheme="minorHAnsi" w:cstheme="minorHAnsi"/>
          <w:sz w:val="23"/>
          <w:szCs w:val="23"/>
        </w:rPr>
        <w:footnoteReference w:id="13"/>
      </w:r>
      <w:r w:rsidR="00F17522" w:rsidRPr="004D65C3">
        <w:rPr>
          <w:rFonts w:asciiTheme="minorHAnsi" w:hAnsiTheme="minorHAnsi" w:cstheme="minorHAnsi"/>
          <w:sz w:val="23"/>
          <w:szCs w:val="23"/>
          <w:vertAlign w:val="superscript"/>
        </w:rPr>
        <w:t>,</w:t>
      </w:r>
      <w:r w:rsidR="00F17522" w:rsidRPr="004D65C3">
        <w:rPr>
          <w:rStyle w:val="FootnoteReference"/>
          <w:rFonts w:asciiTheme="minorHAnsi" w:hAnsiTheme="minorHAnsi" w:cstheme="minorHAnsi"/>
          <w:sz w:val="23"/>
          <w:szCs w:val="23"/>
        </w:rPr>
        <w:footnoteReference w:id="14"/>
      </w:r>
      <w:r w:rsidR="002B5843" w:rsidRPr="004D65C3">
        <w:rPr>
          <w:rFonts w:asciiTheme="minorHAnsi" w:hAnsiTheme="minorHAnsi" w:cstheme="minorHAnsi"/>
          <w:sz w:val="23"/>
          <w:szCs w:val="23"/>
          <w:vertAlign w:val="superscript"/>
        </w:rPr>
        <w:t>,</w:t>
      </w:r>
      <w:r w:rsidR="002B5843" w:rsidRPr="004D65C3">
        <w:rPr>
          <w:rStyle w:val="FootnoteReference"/>
          <w:rFonts w:asciiTheme="minorHAnsi" w:hAnsiTheme="minorHAnsi" w:cstheme="minorHAnsi"/>
          <w:sz w:val="23"/>
          <w:szCs w:val="23"/>
        </w:rPr>
        <w:footnoteReference w:id="15"/>
      </w:r>
      <w:r w:rsidR="002B5843" w:rsidRPr="004D65C3">
        <w:rPr>
          <w:rFonts w:asciiTheme="minorHAnsi" w:hAnsiTheme="minorHAnsi" w:cstheme="minorHAnsi"/>
          <w:sz w:val="23"/>
          <w:szCs w:val="23"/>
          <w:vertAlign w:val="superscript"/>
        </w:rPr>
        <w:t>,</w:t>
      </w:r>
      <w:r w:rsidR="002B5843" w:rsidRPr="004D65C3">
        <w:rPr>
          <w:rStyle w:val="FootnoteReference"/>
          <w:rFonts w:asciiTheme="minorHAnsi" w:hAnsiTheme="minorHAnsi" w:cstheme="minorHAnsi"/>
          <w:sz w:val="23"/>
          <w:szCs w:val="23"/>
        </w:rPr>
        <w:footnoteReference w:id="16"/>
      </w:r>
      <w:r w:rsidR="002323D6" w:rsidRPr="004D65C3">
        <w:rPr>
          <w:rFonts w:asciiTheme="minorHAnsi" w:hAnsiTheme="minorHAnsi" w:cstheme="minorHAnsi"/>
          <w:sz w:val="23"/>
          <w:szCs w:val="23"/>
          <w:vertAlign w:val="superscript"/>
        </w:rPr>
        <w:t>,</w:t>
      </w:r>
      <w:r w:rsidR="002323D6" w:rsidRPr="004D65C3">
        <w:rPr>
          <w:rStyle w:val="FootnoteReference"/>
          <w:rFonts w:asciiTheme="minorHAnsi" w:hAnsiTheme="minorHAnsi" w:cstheme="minorHAnsi"/>
          <w:sz w:val="23"/>
          <w:szCs w:val="23"/>
        </w:rPr>
        <w:footnoteReference w:id="17"/>
      </w:r>
      <w:r w:rsidR="002323D6" w:rsidRPr="004D65C3">
        <w:rPr>
          <w:rFonts w:asciiTheme="minorHAnsi" w:hAnsiTheme="minorHAnsi" w:cstheme="minorHAnsi"/>
          <w:sz w:val="23"/>
          <w:szCs w:val="23"/>
          <w:vertAlign w:val="superscript"/>
        </w:rPr>
        <w:t>,</w:t>
      </w:r>
      <w:r w:rsidR="002323D6" w:rsidRPr="004D65C3">
        <w:rPr>
          <w:rStyle w:val="FootnoteReference"/>
          <w:rFonts w:asciiTheme="minorHAnsi" w:hAnsiTheme="minorHAnsi" w:cstheme="minorHAnsi"/>
          <w:sz w:val="23"/>
          <w:szCs w:val="23"/>
        </w:rPr>
        <w:footnoteReference w:id="18"/>
      </w:r>
      <w:r w:rsidR="002323D6" w:rsidRPr="004D65C3">
        <w:rPr>
          <w:rFonts w:asciiTheme="minorHAnsi" w:hAnsiTheme="minorHAnsi" w:cstheme="minorHAnsi"/>
          <w:sz w:val="23"/>
          <w:szCs w:val="23"/>
          <w:vertAlign w:val="superscript"/>
        </w:rPr>
        <w:t>,</w:t>
      </w:r>
      <w:r w:rsidR="002323D6" w:rsidRPr="004D65C3">
        <w:rPr>
          <w:rStyle w:val="FootnoteReference"/>
          <w:rFonts w:asciiTheme="minorHAnsi" w:hAnsiTheme="minorHAnsi" w:cstheme="minorHAnsi"/>
          <w:sz w:val="23"/>
          <w:szCs w:val="23"/>
        </w:rPr>
        <w:footnoteReference w:id="19"/>
      </w:r>
      <w:r w:rsidR="00FE5B23" w:rsidRPr="004D65C3">
        <w:rPr>
          <w:rFonts w:asciiTheme="minorHAnsi" w:hAnsiTheme="minorHAnsi" w:cstheme="minorHAnsi"/>
          <w:sz w:val="23"/>
          <w:szCs w:val="23"/>
          <w:vertAlign w:val="superscript"/>
        </w:rPr>
        <w:t>,</w:t>
      </w:r>
      <w:r w:rsidR="00FE5B23" w:rsidRPr="004D65C3">
        <w:rPr>
          <w:rStyle w:val="FootnoteReference"/>
          <w:rFonts w:asciiTheme="minorHAnsi" w:hAnsiTheme="minorHAnsi" w:cstheme="minorHAnsi"/>
          <w:sz w:val="23"/>
          <w:szCs w:val="23"/>
        </w:rPr>
        <w:footnoteReference w:id="20"/>
      </w:r>
      <w:r w:rsidR="00FF5129" w:rsidRPr="004D65C3">
        <w:rPr>
          <w:rFonts w:asciiTheme="minorHAnsi" w:hAnsiTheme="minorHAnsi" w:cstheme="minorHAnsi"/>
          <w:sz w:val="23"/>
          <w:szCs w:val="23"/>
          <w:vertAlign w:val="superscript"/>
        </w:rPr>
        <w:t>,</w:t>
      </w:r>
      <w:r w:rsidR="00FF5129" w:rsidRPr="004D65C3">
        <w:rPr>
          <w:rStyle w:val="FootnoteReference"/>
          <w:rFonts w:asciiTheme="minorHAnsi" w:hAnsiTheme="minorHAnsi" w:cstheme="minorHAnsi"/>
          <w:sz w:val="23"/>
          <w:szCs w:val="23"/>
        </w:rPr>
        <w:footnoteReference w:id="21"/>
      </w:r>
      <w:r w:rsidR="00E37DB8" w:rsidRPr="004D65C3">
        <w:rPr>
          <w:rFonts w:asciiTheme="minorHAnsi" w:hAnsiTheme="minorHAnsi" w:cstheme="minorHAnsi"/>
          <w:sz w:val="23"/>
          <w:szCs w:val="23"/>
          <w:vertAlign w:val="superscript"/>
        </w:rPr>
        <w:t>,</w:t>
      </w:r>
      <w:r w:rsidR="00E37DB8" w:rsidRPr="004D65C3">
        <w:rPr>
          <w:rStyle w:val="FootnoteReference"/>
          <w:rFonts w:asciiTheme="minorHAnsi" w:hAnsiTheme="minorHAnsi" w:cstheme="minorHAnsi"/>
          <w:sz w:val="23"/>
          <w:szCs w:val="23"/>
        </w:rPr>
        <w:footnoteReference w:id="22"/>
      </w:r>
      <w:r w:rsidR="00E37DB8" w:rsidRPr="004D65C3">
        <w:rPr>
          <w:rFonts w:asciiTheme="minorHAnsi" w:hAnsiTheme="minorHAnsi" w:cstheme="minorHAnsi"/>
          <w:sz w:val="23"/>
          <w:szCs w:val="23"/>
          <w:vertAlign w:val="superscript"/>
        </w:rPr>
        <w:t>,</w:t>
      </w:r>
      <w:r w:rsidR="00E37DB8" w:rsidRPr="004D65C3">
        <w:rPr>
          <w:rStyle w:val="FootnoteReference"/>
          <w:rFonts w:asciiTheme="minorHAnsi" w:hAnsiTheme="minorHAnsi" w:cstheme="minorHAnsi"/>
          <w:sz w:val="23"/>
          <w:szCs w:val="23"/>
        </w:rPr>
        <w:footnoteReference w:id="23"/>
      </w:r>
      <w:r w:rsidR="001971FD" w:rsidRPr="004D65C3">
        <w:rPr>
          <w:rFonts w:asciiTheme="minorHAnsi" w:hAnsiTheme="minorHAnsi" w:cstheme="minorHAnsi"/>
          <w:sz w:val="23"/>
          <w:szCs w:val="23"/>
          <w:vertAlign w:val="superscript"/>
        </w:rPr>
        <w:t>,</w:t>
      </w:r>
      <w:r w:rsidR="001971FD" w:rsidRPr="004D65C3">
        <w:rPr>
          <w:rStyle w:val="FootnoteReference"/>
          <w:rFonts w:asciiTheme="minorHAnsi" w:hAnsiTheme="minorHAnsi" w:cstheme="minorHAnsi"/>
          <w:sz w:val="23"/>
          <w:szCs w:val="23"/>
        </w:rPr>
        <w:footnoteReference w:id="24"/>
      </w:r>
      <w:r w:rsidR="001971FD" w:rsidRPr="004D65C3">
        <w:rPr>
          <w:rFonts w:asciiTheme="minorHAnsi" w:hAnsiTheme="minorHAnsi" w:cstheme="minorHAnsi"/>
          <w:sz w:val="23"/>
          <w:szCs w:val="23"/>
          <w:vertAlign w:val="superscript"/>
        </w:rPr>
        <w:t>,</w:t>
      </w:r>
      <w:r w:rsidR="001971FD" w:rsidRPr="004D65C3">
        <w:rPr>
          <w:rStyle w:val="FootnoteReference"/>
          <w:rFonts w:asciiTheme="minorHAnsi" w:hAnsiTheme="minorHAnsi" w:cstheme="minorHAnsi"/>
          <w:sz w:val="23"/>
          <w:szCs w:val="23"/>
        </w:rPr>
        <w:footnoteReference w:id="25"/>
      </w:r>
      <w:r w:rsidR="00142760" w:rsidRPr="004D65C3">
        <w:rPr>
          <w:rFonts w:asciiTheme="minorHAnsi" w:hAnsiTheme="minorHAnsi" w:cstheme="minorHAnsi"/>
          <w:sz w:val="23"/>
          <w:szCs w:val="23"/>
          <w:vertAlign w:val="superscript"/>
        </w:rPr>
        <w:t>,</w:t>
      </w:r>
      <w:r w:rsidR="00142760" w:rsidRPr="004D65C3">
        <w:rPr>
          <w:rStyle w:val="FootnoteReference"/>
          <w:rFonts w:asciiTheme="minorHAnsi" w:hAnsiTheme="minorHAnsi" w:cstheme="minorHAnsi"/>
          <w:sz w:val="23"/>
          <w:szCs w:val="23"/>
        </w:rPr>
        <w:footnoteReference w:id="26"/>
      </w:r>
      <w:r w:rsidR="00142760" w:rsidRPr="004D65C3">
        <w:rPr>
          <w:rFonts w:asciiTheme="minorHAnsi" w:hAnsiTheme="minorHAnsi" w:cstheme="minorHAnsi"/>
          <w:sz w:val="23"/>
          <w:szCs w:val="23"/>
          <w:vertAlign w:val="superscript"/>
        </w:rPr>
        <w:t>,</w:t>
      </w:r>
      <w:r w:rsidR="00007D20" w:rsidRPr="004D65C3">
        <w:rPr>
          <w:rStyle w:val="FootnoteReference"/>
          <w:rFonts w:asciiTheme="minorHAnsi" w:hAnsiTheme="minorHAnsi" w:cstheme="minorHAnsi"/>
          <w:sz w:val="23"/>
          <w:szCs w:val="23"/>
        </w:rPr>
        <w:footnoteReference w:id="27"/>
      </w:r>
      <w:r w:rsidR="00007D20" w:rsidRPr="004D65C3">
        <w:rPr>
          <w:rFonts w:asciiTheme="minorHAnsi" w:hAnsiTheme="minorHAnsi" w:cstheme="minorHAnsi"/>
          <w:sz w:val="23"/>
          <w:szCs w:val="23"/>
          <w:vertAlign w:val="superscript"/>
        </w:rPr>
        <w:t>,</w:t>
      </w:r>
      <w:r w:rsidR="00007D20" w:rsidRPr="004D65C3">
        <w:rPr>
          <w:rStyle w:val="FootnoteReference"/>
          <w:rFonts w:asciiTheme="minorHAnsi" w:hAnsiTheme="minorHAnsi" w:cstheme="minorHAnsi"/>
          <w:sz w:val="23"/>
          <w:szCs w:val="23"/>
        </w:rPr>
        <w:footnoteReference w:id="28"/>
      </w:r>
      <w:r w:rsidR="00727B5A" w:rsidRPr="004D65C3">
        <w:rPr>
          <w:rFonts w:asciiTheme="minorHAnsi" w:hAnsiTheme="minorHAnsi" w:cstheme="minorHAnsi"/>
          <w:sz w:val="23"/>
          <w:szCs w:val="23"/>
          <w:vertAlign w:val="superscript"/>
        </w:rPr>
        <w:t>,</w:t>
      </w:r>
      <w:r w:rsidR="00727B5A" w:rsidRPr="004D65C3">
        <w:rPr>
          <w:rStyle w:val="FootnoteReference"/>
          <w:rFonts w:asciiTheme="minorHAnsi" w:hAnsiTheme="minorHAnsi" w:cstheme="minorHAnsi"/>
          <w:sz w:val="23"/>
          <w:szCs w:val="23"/>
        </w:rPr>
        <w:footnoteReference w:id="29"/>
      </w:r>
      <w:r w:rsidR="00B43583" w:rsidRPr="00B43583">
        <w:rPr>
          <w:rFonts w:asciiTheme="minorHAnsi" w:hAnsiTheme="minorHAnsi" w:cstheme="minorHAnsi"/>
          <w:b/>
          <w:bCs/>
          <w:sz w:val="23"/>
          <w:szCs w:val="23"/>
        </w:rPr>
        <w:t xml:space="preserve"> </w:t>
      </w:r>
    </w:p>
    <w:p w14:paraId="69015E90" w14:textId="51173414" w:rsidR="00B43583" w:rsidRDefault="00B43583" w:rsidP="00B43583">
      <w:pPr>
        <w:pStyle w:val="Default"/>
        <w:spacing w:after="20" w:line="259" w:lineRule="auto"/>
        <w:jc w:val="both"/>
        <w:rPr>
          <w:rFonts w:asciiTheme="minorHAnsi" w:hAnsiTheme="minorHAnsi" w:cstheme="minorHAnsi"/>
          <w:b/>
          <w:bCs/>
          <w:sz w:val="23"/>
          <w:szCs w:val="23"/>
        </w:rPr>
      </w:pPr>
      <w:r>
        <w:rPr>
          <w:rFonts w:ascii="Roboto" w:hAnsi="Roboto"/>
          <w:noProof/>
          <w:u w:val="single"/>
        </w:rPr>
        <w:drawing>
          <wp:anchor distT="0" distB="0" distL="114300" distR="114300" simplePos="0" relativeHeight="251662336" behindDoc="1" locked="0" layoutInCell="1" allowOverlap="1" wp14:anchorId="6C4FBB02" wp14:editId="1729AC60">
            <wp:simplePos x="0" y="0"/>
            <wp:positionH relativeFrom="margin">
              <wp:align>center</wp:align>
            </wp:positionH>
            <wp:positionV relativeFrom="paragraph">
              <wp:posOffset>672465</wp:posOffset>
            </wp:positionV>
            <wp:extent cx="6598285" cy="2141220"/>
            <wp:effectExtent l="0" t="0" r="0" b="0"/>
            <wp:wrapTight wrapText="bothSides">
              <wp:wrapPolygon edited="0">
                <wp:start x="0" y="0"/>
                <wp:lineTo x="0" y="21331"/>
                <wp:lineTo x="21515" y="21331"/>
                <wp:lineTo x="21515" y="0"/>
                <wp:lineTo x="0" y="0"/>
              </wp:wrapPolygon>
            </wp:wrapTight>
            <wp:docPr id="14407302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98285" cy="214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453">
        <w:rPr>
          <w:rFonts w:asciiTheme="minorHAnsi" w:hAnsiTheme="minorHAnsi" w:cstheme="minorHAnsi"/>
          <w:b/>
          <w:bCs/>
          <w:sz w:val="23"/>
          <w:szCs w:val="23"/>
        </w:rPr>
        <w:t>When rural survivors of sexual violence do not have the means to access employment opportunities, reliable transportation</w:t>
      </w:r>
      <w:r>
        <w:rPr>
          <w:rFonts w:asciiTheme="minorHAnsi" w:hAnsiTheme="minorHAnsi" w:cstheme="minorHAnsi"/>
          <w:b/>
          <w:bCs/>
          <w:sz w:val="23"/>
          <w:szCs w:val="23"/>
        </w:rPr>
        <w:t>,</w:t>
      </w:r>
      <w:r w:rsidRPr="00B71453">
        <w:rPr>
          <w:rFonts w:asciiTheme="minorHAnsi" w:hAnsiTheme="minorHAnsi" w:cstheme="minorHAnsi"/>
          <w:b/>
          <w:bCs/>
          <w:sz w:val="23"/>
          <w:szCs w:val="23"/>
        </w:rPr>
        <w:t xml:space="preserve"> specialty healthcare providers, affordable housing, and survivor-centered support and resources, they are at a greater risk of experiencing sexual violence.</w:t>
      </w:r>
    </w:p>
    <w:p w14:paraId="139A484B" w14:textId="0235C7C0" w:rsidR="006A197C" w:rsidRPr="00727B07" w:rsidRDefault="005A034A" w:rsidP="00B43583">
      <w:pPr>
        <w:pStyle w:val="Default"/>
        <w:spacing w:after="20" w:line="259" w:lineRule="auto"/>
        <w:jc w:val="both"/>
      </w:pPr>
      <w:r>
        <w:rPr>
          <w:rFonts w:ascii="Roboto" w:hAnsi="Roboto"/>
          <w:noProof/>
          <w:u w:val="single"/>
        </w:rPr>
        <w:drawing>
          <wp:anchor distT="0" distB="0" distL="114300" distR="114300" simplePos="0" relativeHeight="251659264" behindDoc="1" locked="0" layoutInCell="1" allowOverlap="1" wp14:anchorId="5047A777" wp14:editId="76F62DF8">
            <wp:simplePos x="0" y="0"/>
            <wp:positionH relativeFrom="margin">
              <wp:align>center</wp:align>
            </wp:positionH>
            <wp:positionV relativeFrom="margin">
              <wp:posOffset>3890010</wp:posOffset>
            </wp:positionV>
            <wp:extent cx="4785360" cy="3289300"/>
            <wp:effectExtent l="0" t="0" r="0" b="6350"/>
            <wp:wrapTight wrapText="bothSides">
              <wp:wrapPolygon edited="0">
                <wp:start x="0" y="0"/>
                <wp:lineTo x="0" y="21517"/>
                <wp:lineTo x="21497" y="21517"/>
                <wp:lineTo x="21497" y="0"/>
                <wp:lineTo x="0" y="0"/>
              </wp:wrapPolygon>
            </wp:wrapTight>
            <wp:docPr id="6840033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5360" cy="328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859833" w14:textId="691CB76C" w:rsidR="007406C0" w:rsidRPr="004D65C3" w:rsidRDefault="007406C0" w:rsidP="00437DD1">
      <w:pPr>
        <w:pStyle w:val="Default"/>
        <w:spacing w:after="60" w:line="259" w:lineRule="auto"/>
        <w:jc w:val="both"/>
        <w:rPr>
          <w:rFonts w:asciiTheme="minorHAnsi" w:hAnsiTheme="minorHAnsi" w:cstheme="minorHAnsi"/>
          <w:sz w:val="23"/>
          <w:szCs w:val="23"/>
        </w:rPr>
      </w:pPr>
    </w:p>
    <w:p w14:paraId="61EFCABC" w14:textId="36572F83" w:rsidR="007406C0" w:rsidRPr="007406C0" w:rsidRDefault="007406C0" w:rsidP="00526829">
      <w:pPr>
        <w:pStyle w:val="Default"/>
        <w:spacing w:after="20" w:line="259" w:lineRule="auto"/>
        <w:jc w:val="both"/>
        <w:rPr>
          <w:rFonts w:asciiTheme="minorHAnsi" w:hAnsiTheme="minorHAnsi" w:cstheme="minorHAnsi"/>
          <w:sz w:val="22"/>
          <w:szCs w:val="22"/>
          <w:vertAlign w:val="superscript"/>
        </w:rPr>
      </w:pPr>
    </w:p>
    <w:p w14:paraId="2C4E1EC7" w14:textId="1EC395D4" w:rsidR="00474743" w:rsidRPr="00F2064A" w:rsidRDefault="00474743" w:rsidP="00331EE5">
      <w:pPr>
        <w:pStyle w:val="Default"/>
        <w:spacing w:after="20" w:line="259" w:lineRule="auto"/>
        <w:jc w:val="both"/>
        <w:rPr>
          <w:rFonts w:asciiTheme="minorHAnsi" w:hAnsiTheme="minorHAnsi" w:cstheme="minorHAnsi"/>
          <w:sz w:val="23"/>
          <w:szCs w:val="23"/>
        </w:rPr>
      </w:pPr>
    </w:p>
    <w:p w14:paraId="11B944FB" w14:textId="4905EE17" w:rsidR="00D5142E" w:rsidRDefault="00D5142E" w:rsidP="00727B5A">
      <w:pPr>
        <w:pStyle w:val="Default"/>
        <w:spacing w:after="20" w:line="259" w:lineRule="auto"/>
        <w:jc w:val="both"/>
      </w:pPr>
    </w:p>
    <w:p w14:paraId="29068029" w14:textId="0EEA3AD6" w:rsidR="00D5142E" w:rsidRDefault="00D5142E" w:rsidP="00727B5A">
      <w:pPr>
        <w:pStyle w:val="Default"/>
        <w:spacing w:after="20" w:line="259" w:lineRule="auto"/>
        <w:jc w:val="both"/>
      </w:pPr>
    </w:p>
    <w:p w14:paraId="44AB8BFD" w14:textId="032D27EB" w:rsidR="00D5142E" w:rsidRDefault="00D5142E" w:rsidP="00727B5A">
      <w:pPr>
        <w:pStyle w:val="Default"/>
        <w:spacing w:after="20" w:line="259" w:lineRule="auto"/>
        <w:jc w:val="both"/>
      </w:pPr>
    </w:p>
    <w:p w14:paraId="2272C165" w14:textId="4280135F" w:rsidR="002B6AB3" w:rsidRDefault="002B6AB3" w:rsidP="00727B5A">
      <w:pPr>
        <w:pStyle w:val="Default"/>
        <w:spacing w:after="20" w:line="259" w:lineRule="auto"/>
        <w:jc w:val="both"/>
      </w:pPr>
    </w:p>
    <w:p w14:paraId="5B5395BB" w14:textId="332B1B66" w:rsidR="002B6AB3" w:rsidRDefault="002B6AB3" w:rsidP="00727B5A">
      <w:pPr>
        <w:pStyle w:val="Default"/>
        <w:spacing w:after="20" w:line="259" w:lineRule="auto"/>
        <w:jc w:val="both"/>
      </w:pPr>
    </w:p>
    <w:p w14:paraId="1FAC4C3B" w14:textId="27A51F29" w:rsidR="002B6AB3" w:rsidRDefault="002B6AB3" w:rsidP="00727B5A">
      <w:pPr>
        <w:pStyle w:val="Default"/>
        <w:spacing w:after="20" w:line="259" w:lineRule="auto"/>
        <w:jc w:val="both"/>
      </w:pPr>
    </w:p>
    <w:p w14:paraId="6FADF317" w14:textId="2FD45273" w:rsidR="002B6AB3" w:rsidRDefault="00437DD1" w:rsidP="00727B5A">
      <w:pPr>
        <w:pStyle w:val="Default"/>
        <w:spacing w:after="20" w:line="259" w:lineRule="auto"/>
        <w:jc w:val="both"/>
      </w:pPr>
      <w:r w:rsidRPr="007406C0">
        <w:rPr>
          <w:rFonts w:ascii="Roboto" w:hAnsi="Roboto"/>
          <w:noProof/>
          <w:sz w:val="22"/>
          <w:szCs w:val="22"/>
          <w:u w:val="single"/>
        </w:rPr>
        <w:lastRenderedPageBreak/>
        <w:drawing>
          <wp:anchor distT="0" distB="0" distL="114300" distR="114300" simplePos="0" relativeHeight="251660288" behindDoc="0" locked="0" layoutInCell="1" allowOverlap="1" wp14:anchorId="50AEA12B" wp14:editId="65A74423">
            <wp:simplePos x="0" y="0"/>
            <wp:positionH relativeFrom="margin">
              <wp:align>center</wp:align>
            </wp:positionH>
            <wp:positionV relativeFrom="margin">
              <wp:posOffset>121920</wp:posOffset>
            </wp:positionV>
            <wp:extent cx="5669280" cy="3197905"/>
            <wp:effectExtent l="0" t="0" r="7620" b="2540"/>
            <wp:wrapSquare wrapText="bothSides"/>
            <wp:docPr id="15593987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9280" cy="3197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BABDDC" w14:textId="113C1502" w:rsidR="002B6AB3" w:rsidRDefault="002B6AB3" w:rsidP="00727B5A">
      <w:pPr>
        <w:pStyle w:val="Default"/>
        <w:spacing w:after="20" w:line="259" w:lineRule="auto"/>
        <w:jc w:val="both"/>
      </w:pPr>
    </w:p>
    <w:p w14:paraId="0514444A" w14:textId="1853D630" w:rsidR="009E1F03" w:rsidRDefault="00226649" w:rsidP="00727B5A">
      <w:pPr>
        <w:pStyle w:val="Default"/>
        <w:spacing w:after="20" w:line="259" w:lineRule="auto"/>
        <w:jc w:val="both"/>
      </w:pPr>
      <w:r>
        <w:rPr>
          <w:rFonts w:ascii="Roboto" w:hAnsi="Roboto"/>
          <w:noProof/>
          <w:u w:val="single"/>
        </w:rPr>
        <w:drawing>
          <wp:anchor distT="0" distB="0" distL="114300" distR="114300" simplePos="0" relativeHeight="251661312" behindDoc="1" locked="0" layoutInCell="1" allowOverlap="1" wp14:anchorId="4197D51C" wp14:editId="68CB1AC8">
            <wp:simplePos x="0" y="0"/>
            <wp:positionH relativeFrom="margin">
              <wp:align>center</wp:align>
            </wp:positionH>
            <wp:positionV relativeFrom="paragraph">
              <wp:posOffset>163830</wp:posOffset>
            </wp:positionV>
            <wp:extent cx="5394960" cy="3670753"/>
            <wp:effectExtent l="0" t="0" r="0" b="6350"/>
            <wp:wrapTight wrapText="bothSides">
              <wp:wrapPolygon edited="0">
                <wp:start x="0" y="0"/>
                <wp:lineTo x="0" y="21525"/>
                <wp:lineTo x="21508" y="21525"/>
                <wp:lineTo x="21508" y="0"/>
                <wp:lineTo x="0" y="0"/>
              </wp:wrapPolygon>
            </wp:wrapTight>
            <wp:docPr id="5263598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4960" cy="36707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E0A9B0" w14:textId="132F4AC3" w:rsidR="009E1F03" w:rsidRDefault="009E1F03" w:rsidP="00727B5A">
      <w:pPr>
        <w:pStyle w:val="Default"/>
        <w:spacing w:after="20" w:line="259" w:lineRule="auto"/>
        <w:jc w:val="both"/>
      </w:pPr>
    </w:p>
    <w:p w14:paraId="2F6F27F8" w14:textId="77777777" w:rsidR="009E1F03" w:rsidRDefault="009E1F03" w:rsidP="00727B5A">
      <w:pPr>
        <w:pStyle w:val="Default"/>
        <w:spacing w:after="20" w:line="259" w:lineRule="auto"/>
        <w:jc w:val="both"/>
      </w:pPr>
    </w:p>
    <w:p w14:paraId="4F5A1E72" w14:textId="714E5160" w:rsidR="009E1F03" w:rsidRDefault="009E1F03" w:rsidP="00727B5A">
      <w:pPr>
        <w:pStyle w:val="Default"/>
        <w:spacing w:after="20" w:line="259" w:lineRule="auto"/>
        <w:jc w:val="both"/>
      </w:pPr>
    </w:p>
    <w:p w14:paraId="1DF074F1" w14:textId="77777777" w:rsidR="009E1F03" w:rsidRDefault="009E1F03" w:rsidP="00727B5A">
      <w:pPr>
        <w:pStyle w:val="Default"/>
        <w:spacing w:after="20" w:line="259" w:lineRule="auto"/>
        <w:jc w:val="both"/>
      </w:pPr>
    </w:p>
    <w:p w14:paraId="5329E692" w14:textId="4D8002F6" w:rsidR="009E1F03" w:rsidRDefault="00226649" w:rsidP="00727B5A">
      <w:pPr>
        <w:pStyle w:val="Default"/>
        <w:spacing w:after="20" w:line="259" w:lineRule="auto"/>
        <w:jc w:val="both"/>
      </w:pPr>
      <w:r>
        <w:rPr>
          <w:rFonts w:ascii="Roboto" w:hAnsi="Roboto"/>
          <w:noProof/>
          <w:u w:val="single"/>
        </w:rPr>
        <w:lastRenderedPageBreak/>
        <w:drawing>
          <wp:anchor distT="0" distB="0" distL="114300" distR="114300" simplePos="0" relativeHeight="251663360" behindDoc="1" locked="0" layoutInCell="1" allowOverlap="1" wp14:anchorId="380B513B" wp14:editId="24FDDA14">
            <wp:simplePos x="0" y="0"/>
            <wp:positionH relativeFrom="margin">
              <wp:align>center</wp:align>
            </wp:positionH>
            <wp:positionV relativeFrom="paragraph">
              <wp:posOffset>71120</wp:posOffset>
            </wp:positionV>
            <wp:extent cx="5029200" cy="3487598"/>
            <wp:effectExtent l="0" t="0" r="0" b="0"/>
            <wp:wrapTight wrapText="bothSides">
              <wp:wrapPolygon edited="0">
                <wp:start x="0" y="0"/>
                <wp:lineTo x="0" y="21474"/>
                <wp:lineTo x="21518" y="21474"/>
                <wp:lineTo x="21518" y="0"/>
                <wp:lineTo x="0" y="0"/>
              </wp:wrapPolygon>
            </wp:wrapTight>
            <wp:docPr id="896318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9200" cy="34875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424EDA" w14:textId="20A9E2EB" w:rsidR="009E1F03" w:rsidRDefault="009E1F03" w:rsidP="00727B5A">
      <w:pPr>
        <w:pStyle w:val="Default"/>
        <w:spacing w:after="20" w:line="259" w:lineRule="auto"/>
        <w:jc w:val="both"/>
      </w:pPr>
    </w:p>
    <w:p w14:paraId="0E1B3212" w14:textId="1AD84F16" w:rsidR="009E1F03" w:rsidRDefault="009E1F03" w:rsidP="00727B5A">
      <w:pPr>
        <w:pStyle w:val="Default"/>
        <w:spacing w:after="20" w:line="259" w:lineRule="auto"/>
        <w:jc w:val="both"/>
      </w:pPr>
    </w:p>
    <w:p w14:paraId="318E92C7" w14:textId="56438851" w:rsidR="009E1F03" w:rsidRDefault="009E1F03" w:rsidP="00727B5A">
      <w:pPr>
        <w:pStyle w:val="Default"/>
        <w:spacing w:after="20" w:line="259" w:lineRule="auto"/>
        <w:jc w:val="both"/>
      </w:pPr>
    </w:p>
    <w:p w14:paraId="64CCEAF1" w14:textId="77777777" w:rsidR="009E1F03" w:rsidRDefault="009E1F03" w:rsidP="00727B5A">
      <w:pPr>
        <w:pStyle w:val="Default"/>
        <w:spacing w:after="20" w:line="259" w:lineRule="auto"/>
        <w:jc w:val="both"/>
      </w:pPr>
    </w:p>
    <w:p w14:paraId="4429C384" w14:textId="1D7F78E5" w:rsidR="009E1F03" w:rsidRDefault="009E1F03" w:rsidP="00727B5A">
      <w:pPr>
        <w:pStyle w:val="Default"/>
        <w:spacing w:after="20" w:line="259" w:lineRule="auto"/>
        <w:jc w:val="both"/>
      </w:pPr>
    </w:p>
    <w:p w14:paraId="2713F9BE" w14:textId="77777777" w:rsidR="009E1F03" w:rsidRDefault="009E1F03" w:rsidP="00727B5A">
      <w:pPr>
        <w:pStyle w:val="Default"/>
        <w:spacing w:after="20" w:line="259" w:lineRule="auto"/>
        <w:jc w:val="both"/>
      </w:pPr>
    </w:p>
    <w:p w14:paraId="4FE03AF5" w14:textId="77777777" w:rsidR="009E1F03" w:rsidRDefault="009E1F03" w:rsidP="00727B5A">
      <w:pPr>
        <w:pStyle w:val="Default"/>
        <w:spacing w:after="20" w:line="259" w:lineRule="auto"/>
        <w:jc w:val="both"/>
      </w:pPr>
    </w:p>
    <w:p w14:paraId="5F5CCAEA" w14:textId="3656E51C" w:rsidR="009E1F03" w:rsidRDefault="009E1F03" w:rsidP="00727B5A">
      <w:pPr>
        <w:pStyle w:val="Default"/>
        <w:spacing w:after="20" w:line="259" w:lineRule="auto"/>
        <w:jc w:val="both"/>
      </w:pPr>
    </w:p>
    <w:p w14:paraId="32F1489A" w14:textId="77777777" w:rsidR="009E1F03" w:rsidRDefault="009E1F03" w:rsidP="00727B5A">
      <w:pPr>
        <w:pStyle w:val="Default"/>
        <w:spacing w:after="20" w:line="259" w:lineRule="auto"/>
        <w:jc w:val="both"/>
      </w:pPr>
    </w:p>
    <w:p w14:paraId="394A2396" w14:textId="77777777" w:rsidR="009E1F03" w:rsidRDefault="009E1F03" w:rsidP="00727B5A">
      <w:pPr>
        <w:pStyle w:val="Default"/>
        <w:spacing w:after="20" w:line="259" w:lineRule="auto"/>
        <w:jc w:val="both"/>
      </w:pPr>
    </w:p>
    <w:p w14:paraId="457A8944" w14:textId="7054F2F7" w:rsidR="00B71453" w:rsidRDefault="00B71453" w:rsidP="00437DD1">
      <w:pPr>
        <w:pStyle w:val="Default"/>
        <w:spacing w:after="20" w:line="259" w:lineRule="auto"/>
        <w:jc w:val="both"/>
        <w:rPr>
          <w:sz w:val="23"/>
          <w:szCs w:val="23"/>
        </w:rPr>
      </w:pPr>
    </w:p>
    <w:p w14:paraId="4B5A04EB" w14:textId="77777777" w:rsidR="00B71453" w:rsidRDefault="00B71453" w:rsidP="00B71453">
      <w:pPr>
        <w:pStyle w:val="Default"/>
        <w:spacing w:after="20" w:line="259" w:lineRule="auto"/>
        <w:jc w:val="both"/>
        <w:rPr>
          <w:sz w:val="23"/>
          <w:szCs w:val="23"/>
        </w:rPr>
      </w:pPr>
    </w:p>
    <w:p w14:paraId="532591A5" w14:textId="10B366EB" w:rsidR="00B71453" w:rsidRDefault="00B71453" w:rsidP="00815A11">
      <w:pPr>
        <w:pStyle w:val="Default"/>
        <w:spacing w:after="20" w:line="259" w:lineRule="auto"/>
        <w:jc w:val="both"/>
      </w:pPr>
    </w:p>
    <w:p w14:paraId="3EA7F068" w14:textId="67084884" w:rsidR="00B71453" w:rsidRDefault="00B71453" w:rsidP="00815A11">
      <w:pPr>
        <w:pStyle w:val="Default"/>
        <w:spacing w:after="20" w:line="259" w:lineRule="auto"/>
        <w:jc w:val="both"/>
      </w:pPr>
    </w:p>
    <w:p w14:paraId="6B3505F9" w14:textId="74AE0C95" w:rsidR="00B71453" w:rsidRDefault="00B71453" w:rsidP="00815A11">
      <w:pPr>
        <w:pStyle w:val="Default"/>
        <w:spacing w:after="20" w:line="259" w:lineRule="auto"/>
        <w:jc w:val="both"/>
      </w:pPr>
    </w:p>
    <w:p w14:paraId="00518590" w14:textId="47740C4F" w:rsidR="00B71453" w:rsidRPr="00FC608A" w:rsidRDefault="00B71453" w:rsidP="00815A11">
      <w:pPr>
        <w:pStyle w:val="Default"/>
        <w:spacing w:after="20" w:line="259" w:lineRule="auto"/>
        <w:jc w:val="both"/>
        <w:rPr>
          <w:sz w:val="20"/>
          <w:szCs w:val="20"/>
        </w:rPr>
      </w:pPr>
    </w:p>
    <w:p w14:paraId="6CD3B35A" w14:textId="77777777" w:rsidR="00B43583" w:rsidRDefault="00B43583" w:rsidP="00226649">
      <w:pPr>
        <w:pStyle w:val="Default"/>
        <w:spacing w:before="40" w:line="259" w:lineRule="auto"/>
        <w:jc w:val="both"/>
        <w:rPr>
          <w:rFonts w:asciiTheme="minorHAnsi" w:hAnsiTheme="minorHAnsi" w:cstheme="minorHAnsi"/>
          <w:sz w:val="23"/>
          <w:szCs w:val="23"/>
        </w:rPr>
      </w:pPr>
    </w:p>
    <w:p w14:paraId="3AE169DC" w14:textId="77777777" w:rsidR="00386C63" w:rsidRDefault="00386C63" w:rsidP="00226649">
      <w:pPr>
        <w:pStyle w:val="Default"/>
        <w:spacing w:before="40" w:line="259" w:lineRule="auto"/>
        <w:jc w:val="both"/>
        <w:rPr>
          <w:rFonts w:asciiTheme="minorHAnsi" w:hAnsiTheme="minorHAnsi" w:cstheme="minorHAnsi"/>
          <w:sz w:val="23"/>
          <w:szCs w:val="23"/>
        </w:rPr>
      </w:pPr>
    </w:p>
    <w:p w14:paraId="28A6611F" w14:textId="57C79EA5" w:rsidR="00AE74DE" w:rsidRDefault="00226649" w:rsidP="00386C63">
      <w:pPr>
        <w:pStyle w:val="Default"/>
        <w:spacing w:before="40" w:after="120" w:line="259" w:lineRule="auto"/>
        <w:jc w:val="both"/>
        <w:rPr>
          <w:rFonts w:asciiTheme="minorHAnsi" w:hAnsiTheme="minorHAnsi" w:cstheme="minorHAnsi"/>
          <w:sz w:val="23"/>
          <w:szCs w:val="23"/>
        </w:rPr>
      </w:pPr>
      <w:r>
        <w:rPr>
          <w:rFonts w:asciiTheme="minorHAnsi" w:hAnsiTheme="minorHAnsi" w:cstheme="minorHAnsi"/>
          <w:sz w:val="23"/>
          <w:szCs w:val="23"/>
        </w:rPr>
        <w:t>Acc</w:t>
      </w:r>
      <w:r w:rsidRPr="00B71453">
        <w:rPr>
          <w:rFonts w:asciiTheme="minorHAnsi" w:hAnsiTheme="minorHAnsi" w:cstheme="minorHAnsi"/>
          <w:sz w:val="23"/>
          <w:szCs w:val="23"/>
        </w:rPr>
        <w:t xml:space="preserve">ording to 2024 data from </w:t>
      </w:r>
      <w:r w:rsidRPr="00EC0FF0">
        <w:rPr>
          <w:rFonts w:asciiTheme="minorHAnsi" w:hAnsiTheme="minorHAnsi" w:cstheme="minorHAnsi"/>
          <w:sz w:val="23"/>
          <w:szCs w:val="23"/>
        </w:rPr>
        <w:t>Feed America,</w:t>
      </w:r>
      <w:r w:rsidRPr="00B71453">
        <w:rPr>
          <w:rFonts w:asciiTheme="minorHAnsi" w:hAnsiTheme="minorHAnsi" w:cstheme="minorHAnsi"/>
          <w:sz w:val="23"/>
          <w:szCs w:val="23"/>
        </w:rPr>
        <w:t xml:space="preserve"> </w:t>
      </w:r>
      <w:r w:rsidRPr="00B71453">
        <w:rPr>
          <w:rFonts w:asciiTheme="minorHAnsi" w:hAnsiTheme="minorHAnsi" w:cstheme="minorHAnsi"/>
          <w:b/>
          <w:bCs/>
          <w:sz w:val="23"/>
          <w:szCs w:val="23"/>
        </w:rPr>
        <w:t>14.6%</w:t>
      </w:r>
      <w:r w:rsidRPr="00B71453">
        <w:rPr>
          <w:rFonts w:asciiTheme="minorHAnsi" w:hAnsiTheme="minorHAnsi" w:cstheme="minorHAnsi"/>
          <w:sz w:val="23"/>
          <w:szCs w:val="23"/>
        </w:rPr>
        <w:t xml:space="preserve"> of Marylanders are food insecure.</w:t>
      </w:r>
      <w:r w:rsidRPr="00B71453">
        <w:rPr>
          <w:rStyle w:val="FootnoteReference"/>
          <w:rFonts w:asciiTheme="minorHAnsi" w:hAnsiTheme="minorHAnsi" w:cstheme="minorHAnsi"/>
          <w:sz w:val="23"/>
          <w:szCs w:val="23"/>
        </w:rPr>
        <w:footnoteReference w:id="30"/>
      </w:r>
      <w:r w:rsidRPr="00B71453">
        <w:rPr>
          <w:rFonts w:asciiTheme="minorHAnsi" w:hAnsiTheme="minorHAnsi" w:cstheme="minorHAnsi"/>
          <w:sz w:val="23"/>
          <w:szCs w:val="23"/>
        </w:rPr>
        <w:t xml:space="preserve"> </w:t>
      </w:r>
    </w:p>
    <w:p w14:paraId="68789976" w14:textId="49C1423A" w:rsidR="00AE74DE" w:rsidRPr="00B43583" w:rsidRDefault="00AE74DE" w:rsidP="00B43583">
      <w:pPr>
        <w:pStyle w:val="Default"/>
        <w:spacing w:before="40" w:line="259" w:lineRule="auto"/>
        <w:jc w:val="both"/>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7456" behindDoc="0" locked="0" layoutInCell="1" allowOverlap="1" wp14:anchorId="02413EA8" wp14:editId="39A3E6D7">
            <wp:simplePos x="0" y="0"/>
            <wp:positionH relativeFrom="margin">
              <wp:align>center</wp:align>
            </wp:positionH>
            <wp:positionV relativeFrom="paragraph">
              <wp:posOffset>24765</wp:posOffset>
            </wp:positionV>
            <wp:extent cx="5029200" cy="3419117"/>
            <wp:effectExtent l="0" t="0" r="0" b="0"/>
            <wp:wrapSquare wrapText="bothSides"/>
            <wp:docPr id="1333433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33090" name="Picture 13334330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9200" cy="3419117"/>
                    </a:xfrm>
                    <a:prstGeom prst="rect">
                      <a:avLst/>
                    </a:prstGeom>
                  </pic:spPr>
                </pic:pic>
              </a:graphicData>
            </a:graphic>
            <wp14:sizeRelH relativeFrom="page">
              <wp14:pctWidth>0</wp14:pctWidth>
            </wp14:sizeRelH>
            <wp14:sizeRelV relativeFrom="page">
              <wp14:pctHeight>0</wp14:pctHeight>
            </wp14:sizeRelV>
          </wp:anchor>
        </w:drawing>
      </w:r>
    </w:p>
    <w:sectPr w:rsidR="00AE74DE" w:rsidRPr="00B43583" w:rsidSect="00D45650">
      <w:headerReference w:type="default" r:id="rId15"/>
      <w:footerReference w:type="default" r:id="rId16"/>
      <w:pgSz w:w="12240" w:h="15840"/>
      <w:pgMar w:top="1530" w:right="1440" w:bottom="36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8FB38" w14:textId="77777777" w:rsidR="00D72FF5" w:rsidRDefault="00D72FF5" w:rsidP="00D17A2D">
      <w:pPr>
        <w:spacing w:after="0" w:line="240" w:lineRule="auto"/>
      </w:pPr>
      <w:r>
        <w:separator/>
      </w:r>
    </w:p>
  </w:endnote>
  <w:endnote w:type="continuationSeparator" w:id="0">
    <w:p w14:paraId="3BF77705" w14:textId="77777777" w:rsidR="00D72FF5" w:rsidRDefault="00D72FF5" w:rsidP="00D17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0462" w14:textId="30769390" w:rsidR="00C308B3" w:rsidRPr="00A6627C" w:rsidRDefault="00C308B3" w:rsidP="00C308B3">
    <w:pPr>
      <w:pStyle w:val="Footer"/>
      <w:jc w:val="right"/>
      <w:rPr>
        <w:sz w:val="18"/>
        <w:szCs w:val="18"/>
      </w:rPr>
    </w:pPr>
    <w:r w:rsidRPr="00A6627C">
      <w:rPr>
        <w:sz w:val="18"/>
        <w:szCs w:val="18"/>
      </w:rPr>
      <w:t xml:space="preserve">Last edited: </w:t>
    </w:r>
    <w:r w:rsidR="001C56F1">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FD805" w14:textId="77777777" w:rsidR="00D72FF5" w:rsidRDefault="00D72FF5" w:rsidP="00D17A2D">
      <w:pPr>
        <w:spacing w:after="0" w:line="240" w:lineRule="auto"/>
      </w:pPr>
      <w:r>
        <w:separator/>
      </w:r>
    </w:p>
  </w:footnote>
  <w:footnote w:type="continuationSeparator" w:id="0">
    <w:p w14:paraId="01DFE418" w14:textId="77777777" w:rsidR="00D72FF5" w:rsidRDefault="00D72FF5" w:rsidP="00D17A2D">
      <w:pPr>
        <w:spacing w:after="0" w:line="240" w:lineRule="auto"/>
      </w:pPr>
      <w:r>
        <w:continuationSeparator/>
      </w:r>
    </w:p>
  </w:footnote>
  <w:footnote w:id="1">
    <w:p w14:paraId="32AA5146" w14:textId="155B89CC" w:rsidR="006F1C3C" w:rsidRPr="005A034A" w:rsidRDefault="006F1C3C" w:rsidP="005A034A">
      <w:pPr>
        <w:pStyle w:val="FootnoteText"/>
        <w:rPr>
          <w:sz w:val="10"/>
          <w:szCs w:val="10"/>
        </w:rPr>
      </w:pPr>
      <w:r w:rsidRPr="005A034A">
        <w:rPr>
          <w:rStyle w:val="FootnoteReference"/>
          <w:sz w:val="10"/>
          <w:szCs w:val="10"/>
        </w:rPr>
        <w:footnoteRef/>
      </w:r>
      <w:r w:rsidRPr="005A034A">
        <w:rPr>
          <w:sz w:val="10"/>
          <w:szCs w:val="10"/>
        </w:rPr>
        <w:t xml:space="preserve"> University of Washington, School of Social Work. (2015-2026). “Oppression.” Retrieved August 18, 2026, from </w:t>
      </w:r>
      <w:hyperlink r:id="rId1" w:history="1">
        <w:r w:rsidRPr="005A034A">
          <w:rPr>
            <w:rStyle w:val="Hyperlink"/>
            <w:sz w:val="10"/>
            <w:szCs w:val="10"/>
          </w:rPr>
          <w:t>https://socialwork.uw.edu/admissions/oppression-definition/</w:t>
        </w:r>
      </w:hyperlink>
      <w:r w:rsidRPr="005A034A">
        <w:rPr>
          <w:sz w:val="10"/>
          <w:szCs w:val="10"/>
        </w:rPr>
        <w:t> </w:t>
      </w:r>
    </w:p>
  </w:footnote>
  <w:footnote w:id="2">
    <w:p w14:paraId="16FB9147" w14:textId="04982BB6" w:rsidR="006D2E62" w:rsidRPr="005A034A" w:rsidRDefault="006D2E62" w:rsidP="005A034A">
      <w:pPr>
        <w:pStyle w:val="FootnoteText"/>
        <w:rPr>
          <w:sz w:val="10"/>
          <w:szCs w:val="10"/>
        </w:rPr>
      </w:pPr>
      <w:r w:rsidRPr="005A034A">
        <w:rPr>
          <w:rStyle w:val="FootnoteReference"/>
          <w:sz w:val="10"/>
          <w:szCs w:val="10"/>
        </w:rPr>
        <w:footnoteRef/>
      </w:r>
      <w:r w:rsidRPr="005A034A">
        <w:rPr>
          <w:sz w:val="10"/>
          <w:szCs w:val="10"/>
        </w:rPr>
        <w:t xml:space="preserve"> Maryland Rural Health Association. (n.d.). “2018 Maryland Rural Health Plan.” Additional Contributors: Maryland Department of Health: State Office of Rural Health, Rural Maryland Council, &amp; Robert Wood Johnson Foundation. Retrieved August 14, 2026, from </w:t>
      </w:r>
      <w:hyperlink r:id="rId2" w:history="1">
        <w:r w:rsidRPr="005A034A">
          <w:rPr>
            <w:rStyle w:val="Hyperlink"/>
            <w:sz w:val="10"/>
            <w:szCs w:val="10"/>
          </w:rPr>
          <w:t>https://health.maryland.gov/pophealth/Documents/Rural%20Health/MDRH-Plan-2018.pdf</w:t>
        </w:r>
      </w:hyperlink>
    </w:p>
  </w:footnote>
  <w:footnote w:id="3">
    <w:p w14:paraId="79DB937B" w14:textId="77777777" w:rsidR="00A034EF" w:rsidRPr="005A034A" w:rsidRDefault="00A034EF" w:rsidP="005A034A">
      <w:pPr>
        <w:pStyle w:val="FootnoteText"/>
        <w:rPr>
          <w:sz w:val="10"/>
          <w:szCs w:val="10"/>
        </w:rPr>
      </w:pPr>
      <w:r w:rsidRPr="005A034A">
        <w:rPr>
          <w:rStyle w:val="FootnoteReference"/>
          <w:sz w:val="10"/>
          <w:szCs w:val="10"/>
        </w:rPr>
        <w:footnoteRef/>
      </w:r>
      <w:r w:rsidRPr="005A034A">
        <w:rPr>
          <w:sz w:val="10"/>
          <w:szCs w:val="10"/>
        </w:rPr>
        <w:t xml:space="preserve"> Curtis, </w:t>
      </w:r>
      <w:proofErr w:type="gramStart"/>
      <w:r w:rsidRPr="005A034A">
        <w:rPr>
          <w:sz w:val="10"/>
          <w:szCs w:val="10"/>
        </w:rPr>
        <w:t>M..</w:t>
      </w:r>
      <w:proofErr w:type="gramEnd"/>
      <w:r w:rsidRPr="005A034A">
        <w:rPr>
          <w:sz w:val="10"/>
          <w:szCs w:val="10"/>
        </w:rPr>
        <w:t xml:space="preserve"> E., Clingan, </w:t>
      </w:r>
      <w:proofErr w:type="gramStart"/>
      <w:r w:rsidRPr="005A034A">
        <w:rPr>
          <w:sz w:val="10"/>
          <w:szCs w:val="10"/>
        </w:rPr>
        <w:t>S,.</w:t>
      </w:r>
      <w:proofErr w:type="gramEnd"/>
      <w:r w:rsidRPr="005A034A">
        <w:rPr>
          <w:sz w:val="10"/>
          <w:szCs w:val="10"/>
        </w:rPr>
        <w:t xml:space="preserve"> E., Guo, H., Zhu, Y., Mooney, L. J., &amp; Hser, Y. (2022). “Disparities in Digital Access Among American Rural and Urban Households and Implications for Telemedicine-Based Services.” The Journal of Rural Health. Retrieved August 14, 2026, from </w:t>
      </w:r>
      <w:hyperlink r:id="rId3" w:history="1">
        <w:r w:rsidRPr="005A034A">
          <w:rPr>
            <w:rStyle w:val="Hyperlink"/>
            <w:sz w:val="10"/>
            <w:szCs w:val="10"/>
          </w:rPr>
          <w:t>https://pmc.ncbi.nlm.nih.gov/articles/PMC9827725/pdf/nihms-1851104.pdf</w:t>
        </w:r>
      </w:hyperlink>
    </w:p>
  </w:footnote>
  <w:footnote w:id="4">
    <w:p w14:paraId="1781C447" w14:textId="0F027CE1" w:rsidR="00A034EF" w:rsidRPr="005A034A" w:rsidRDefault="00A034EF" w:rsidP="005A034A">
      <w:pPr>
        <w:pStyle w:val="FootnoteText"/>
        <w:rPr>
          <w:sz w:val="10"/>
          <w:szCs w:val="10"/>
        </w:rPr>
      </w:pPr>
      <w:r w:rsidRPr="005A034A">
        <w:rPr>
          <w:rStyle w:val="FootnoteReference"/>
          <w:sz w:val="10"/>
          <w:szCs w:val="10"/>
        </w:rPr>
        <w:footnoteRef/>
      </w:r>
      <w:r w:rsidRPr="005A034A">
        <w:rPr>
          <w:sz w:val="10"/>
          <w:szCs w:val="10"/>
        </w:rPr>
        <w:t xml:space="preserve"> Graves, J. M., Abshire, D. A., Amiri, S., Mackelprang, </w:t>
      </w:r>
      <w:proofErr w:type="gramStart"/>
      <w:r w:rsidRPr="005A034A">
        <w:rPr>
          <w:sz w:val="10"/>
          <w:szCs w:val="10"/>
        </w:rPr>
        <w:t>J .</w:t>
      </w:r>
      <w:proofErr w:type="gramEnd"/>
      <w:r w:rsidRPr="005A034A">
        <w:rPr>
          <w:sz w:val="10"/>
          <w:szCs w:val="10"/>
        </w:rPr>
        <w:t xml:space="preserve"> L. (2021). “Disparities in Technology and Broadband Internet Access Across Rurality: Implications for Health and Education.” Journal of Family and Community Health. Retrieved August 14, 2026, from </w:t>
      </w:r>
      <w:hyperlink r:id="rId4" w:history="1">
        <w:r w:rsidRPr="005A034A">
          <w:rPr>
            <w:rStyle w:val="Hyperlink"/>
            <w:sz w:val="10"/>
            <w:szCs w:val="10"/>
          </w:rPr>
          <w:t>https://pmc.ncbi.nlm.nih.gov/articles/PMC8373718/pdf/nihms-1709004.pdf</w:t>
        </w:r>
      </w:hyperlink>
    </w:p>
  </w:footnote>
  <w:footnote w:id="5">
    <w:p w14:paraId="731E489E" w14:textId="0677F083" w:rsidR="007A1794" w:rsidRPr="005A034A" w:rsidRDefault="007A1794" w:rsidP="005A034A">
      <w:pPr>
        <w:pStyle w:val="FootnoteText"/>
        <w:rPr>
          <w:sz w:val="10"/>
          <w:szCs w:val="10"/>
        </w:rPr>
      </w:pPr>
      <w:r w:rsidRPr="005A034A">
        <w:rPr>
          <w:rStyle w:val="FootnoteReference"/>
          <w:sz w:val="10"/>
          <w:szCs w:val="10"/>
        </w:rPr>
        <w:footnoteRef/>
      </w:r>
      <w:r w:rsidRPr="005A034A">
        <w:rPr>
          <w:sz w:val="10"/>
          <w:szCs w:val="10"/>
        </w:rPr>
        <w:t xml:space="preserve"> Yates, J., </w:t>
      </w:r>
      <w:proofErr w:type="spellStart"/>
      <w:r w:rsidRPr="005A034A">
        <w:rPr>
          <w:sz w:val="10"/>
          <w:szCs w:val="10"/>
        </w:rPr>
        <w:t>Sillington</w:t>
      </w:r>
      <w:proofErr w:type="spellEnd"/>
      <w:r w:rsidRPr="005A034A">
        <w:rPr>
          <w:sz w:val="10"/>
          <w:szCs w:val="10"/>
        </w:rPr>
        <w:t xml:space="preserve">, K. J., </w:t>
      </w:r>
      <w:proofErr w:type="spellStart"/>
      <w:r w:rsidRPr="005A034A">
        <w:rPr>
          <w:sz w:val="10"/>
          <w:szCs w:val="10"/>
        </w:rPr>
        <w:t>Tryphonopoulos</w:t>
      </w:r>
      <w:proofErr w:type="spellEnd"/>
      <w:r w:rsidRPr="005A034A">
        <w:rPr>
          <w:sz w:val="10"/>
          <w:szCs w:val="10"/>
        </w:rPr>
        <w:t xml:space="preserve">, P., Jackson, K. T., &amp; </w:t>
      </w:r>
      <w:proofErr w:type="spellStart"/>
      <w:r w:rsidRPr="005A034A">
        <w:rPr>
          <w:sz w:val="10"/>
          <w:szCs w:val="10"/>
        </w:rPr>
        <w:t>Mantler</w:t>
      </w:r>
      <w:proofErr w:type="spellEnd"/>
      <w:r w:rsidRPr="005A034A">
        <w:rPr>
          <w:sz w:val="10"/>
          <w:szCs w:val="10"/>
        </w:rPr>
        <w:t xml:space="preserve">, T. (2023). “‘When I Decided to Leave, I had Nothing’: The Resilience of Rural Women Experiencing Economic Abuse in the Context of Gender-Based Violence.” Journal of Rural and Community Development. Retrieved August 14, 2026, from </w:t>
      </w:r>
      <w:hyperlink r:id="rId5" w:history="1">
        <w:r w:rsidRPr="005A034A">
          <w:rPr>
            <w:rStyle w:val="Hyperlink"/>
            <w:sz w:val="10"/>
            <w:szCs w:val="10"/>
          </w:rPr>
          <w:t>https://journals.brandonu.ca/jrcd/article/view/2225/605</w:t>
        </w:r>
      </w:hyperlink>
    </w:p>
  </w:footnote>
  <w:footnote w:id="6">
    <w:p w14:paraId="0CA758B4" w14:textId="7BA71682" w:rsidR="005C5D59" w:rsidRPr="005A034A" w:rsidRDefault="005C5D59" w:rsidP="005A034A">
      <w:pPr>
        <w:pStyle w:val="FootnoteText"/>
        <w:rPr>
          <w:sz w:val="10"/>
          <w:szCs w:val="10"/>
        </w:rPr>
      </w:pPr>
      <w:r w:rsidRPr="005A034A">
        <w:rPr>
          <w:rStyle w:val="FootnoteReference"/>
          <w:sz w:val="10"/>
          <w:szCs w:val="10"/>
        </w:rPr>
        <w:footnoteRef/>
      </w:r>
      <w:r w:rsidRPr="005A034A">
        <w:rPr>
          <w:sz w:val="10"/>
          <w:szCs w:val="10"/>
        </w:rPr>
        <w:t xml:space="preserve"> National Resource Center on Domestic Violence. (2025). “Applying an Intersectional Lens.” </w:t>
      </w:r>
      <w:proofErr w:type="spellStart"/>
      <w:r w:rsidRPr="005A034A">
        <w:rPr>
          <w:sz w:val="10"/>
          <w:szCs w:val="10"/>
        </w:rPr>
        <w:t>VAWnet</w:t>
      </w:r>
      <w:proofErr w:type="spellEnd"/>
      <w:r w:rsidRPr="005A034A">
        <w:rPr>
          <w:sz w:val="10"/>
          <w:szCs w:val="10"/>
        </w:rPr>
        <w:t xml:space="preserve">. Retrieved August 18, 2026, from </w:t>
      </w:r>
      <w:hyperlink r:id="rId6" w:history="1">
        <w:r w:rsidRPr="005A034A">
          <w:rPr>
            <w:rStyle w:val="Hyperlink"/>
            <w:sz w:val="10"/>
            <w:szCs w:val="10"/>
          </w:rPr>
          <w:t>https://vawnet.org/sc/how-faithreligion-can-best-meet-needs-abuse-survivors-those-who-cause-harm/applying</w:t>
        </w:r>
      </w:hyperlink>
      <w:r w:rsidRPr="005A034A">
        <w:rPr>
          <w:sz w:val="10"/>
          <w:szCs w:val="10"/>
        </w:rPr>
        <w:t> </w:t>
      </w:r>
    </w:p>
  </w:footnote>
  <w:footnote w:id="7">
    <w:p w14:paraId="295463EF" w14:textId="70145D42" w:rsidR="00F24BC3" w:rsidRPr="005A034A" w:rsidRDefault="00F24BC3" w:rsidP="005A034A">
      <w:pPr>
        <w:pStyle w:val="FootnoteText"/>
        <w:rPr>
          <w:sz w:val="10"/>
          <w:szCs w:val="10"/>
        </w:rPr>
      </w:pPr>
      <w:r w:rsidRPr="005A034A">
        <w:rPr>
          <w:rStyle w:val="FootnoteReference"/>
          <w:sz w:val="10"/>
          <w:szCs w:val="10"/>
        </w:rPr>
        <w:footnoteRef/>
      </w:r>
      <w:r w:rsidRPr="005A034A">
        <w:rPr>
          <w:sz w:val="10"/>
          <w:szCs w:val="10"/>
        </w:rPr>
        <w:t xml:space="preserve"> Maryland Department of Health (MDH), State Office of Rural Health (SORH). (2026, July). “SORH Mission.” Retrieved August 14, 2026, from </w:t>
      </w:r>
      <w:hyperlink r:id="rId7" w:history="1">
        <w:r w:rsidRPr="005A034A">
          <w:rPr>
            <w:rStyle w:val="Hyperlink"/>
            <w:sz w:val="10"/>
            <w:szCs w:val="10"/>
          </w:rPr>
          <w:t>https://health.maryland.gov/pophealth/pages/rural-health.aspx</w:t>
        </w:r>
      </w:hyperlink>
      <w:r w:rsidRPr="005A034A">
        <w:rPr>
          <w:sz w:val="10"/>
          <w:szCs w:val="10"/>
        </w:rPr>
        <w:t> </w:t>
      </w:r>
    </w:p>
  </w:footnote>
  <w:footnote w:id="8">
    <w:p w14:paraId="77F9276C" w14:textId="08200CF4" w:rsidR="00474743" w:rsidRPr="005A034A" w:rsidRDefault="00474743" w:rsidP="005A034A">
      <w:pPr>
        <w:pStyle w:val="FootnoteText"/>
        <w:rPr>
          <w:sz w:val="10"/>
          <w:szCs w:val="10"/>
        </w:rPr>
      </w:pPr>
      <w:r w:rsidRPr="005A034A">
        <w:rPr>
          <w:rStyle w:val="FootnoteReference"/>
          <w:sz w:val="10"/>
          <w:szCs w:val="10"/>
        </w:rPr>
        <w:footnoteRef/>
      </w:r>
      <w:r w:rsidRPr="005A034A">
        <w:rPr>
          <w:sz w:val="10"/>
          <w:szCs w:val="10"/>
        </w:rPr>
        <w:t xml:space="preserve"> </w:t>
      </w:r>
      <w:r w:rsidR="009E1F03" w:rsidRPr="005A034A">
        <w:rPr>
          <w:sz w:val="10"/>
          <w:szCs w:val="10"/>
        </w:rPr>
        <w:t xml:space="preserve">Maryland Department of Health (MDH), State Office of Rural Health (SORH). (2026, July). “SORH Mission.” Retrieved August 14, 2026, from </w:t>
      </w:r>
      <w:hyperlink r:id="rId8" w:history="1">
        <w:r w:rsidR="009E1F03" w:rsidRPr="005A034A">
          <w:rPr>
            <w:rStyle w:val="Hyperlink"/>
            <w:sz w:val="10"/>
            <w:szCs w:val="10"/>
          </w:rPr>
          <w:t>https://health.maryland.gov/pophealth/pages/rural-health.aspx</w:t>
        </w:r>
      </w:hyperlink>
    </w:p>
  </w:footnote>
  <w:footnote w:id="9">
    <w:p w14:paraId="3D06508E" w14:textId="36401AB0" w:rsidR="00474743" w:rsidRPr="005A034A" w:rsidRDefault="00474743" w:rsidP="005A034A">
      <w:pPr>
        <w:pStyle w:val="FootnoteText"/>
        <w:rPr>
          <w:sz w:val="10"/>
          <w:szCs w:val="10"/>
        </w:rPr>
      </w:pPr>
      <w:r w:rsidRPr="005A034A">
        <w:rPr>
          <w:rStyle w:val="FootnoteReference"/>
          <w:sz w:val="10"/>
          <w:szCs w:val="10"/>
        </w:rPr>
        <w:footnoteRef/>
      </w:r>
      <w:r w:rsidRPr="005A034A">
        <w:rPr>
          <w:sz w:val="10"/>
          <w:szCs w:val="10"/>
        </w:rPr>
        <w:t xml:space="preserve"> </w:t>
      </w:r>
      <w:r w:rsidR="00775C03" w:rsidRPr="005A034A">
        <w:rPr>
          <w:sz w:val="10"/>
          <w:szCs w:val="10"/>
        </w:rPr>
        <w:t xml:space="preserve">Ditter, L. &amp; Qi, Z. (2024). “An Economic Advocacy Approach to Empower Rural Victims of Gender-Based Violence: A Review of the Literature.” Academic Leadership Journal in Student Research. Retrieved August 20, 2026, from </w:t>
      </w:r>
      <w:hyperlink r:id="rId9" w:history="1">
        <w:r w:rsidR="00775C03" w:rsidRPr="005A034A">
          <w:rPr>
            <w:rStyle w:val="Hyperlink"/>
            <w:sz w:val="10"/>
            <w:szCs w:val="10"/>
          </w:rPr>
          <w:t>https://scholars.fhsu.edu/cgi/viewcontent.cgi?article=1113&amp;context=aljsr</w:t>
        </w:r>
      </w:hyperlink>
      <w:r w:rsidR="00775C03" w:rsidRPr="005A034A">
        <w:rPr>
          <w:sz w:val="10"/>
          <w:szCs w:val="10"/>
        </w:rPr>
        <w:t> </w:t>
      </w:r>
      <w:r w:rsidR="00E257C6" w:rsidRPr="005A034A">
        <w:rPr>
          <w:sz w:val="10"/>
          <w:szCs w:val="10"/>
        </w:rPr>
        <w:t xml:space="preserve">as cited in </w:t>
      </w:r>
      <w:r w:rsidR="00AD6260" w:rsidRPr="005A034A">
        <w:rPr>
          <w:sz w:val="10"/>
          <w:szCs w:val="10"/>
        </w:rPr>
        <w:t xml:space="preserve">Peek-Asa, C., Wallis, A., Harland, K., Beyer, K., Dickey, P., &amp; </w:t>
      </w:r>
      <w:proofErr w:type="spellStart"/>
      <w:r w:rsidR="00AD6260" w:rsidRPr="005A034A">
        <w:rPr>
          <w:sz w:val="10"/>
          <w:szCs w:val="10"/>
        </w:rPr>
        <w:t>Saftlas</w:t>
      </w:r>
      <w:proofErr w:type="spellEnd"/>
      <w:r w:rsidR="00AD6260" w:rsidRPr="005A034A">
        <w:rPr>
          <w:sz w:val="10"/>
          <w:szCs w:val="10"/>
        </w:rPr>
        <w:t>, A. (</w:t>
      </w:r>
      <w:r w:rsidR="00133522" w:rsidRPr="005A034A">
        <w:rPr>
          <w:sz w:val="10"/>
          <w:szCs w:val="10"/>
        </w:rPr>
        <w:t xml:space="preserve">2011). “Rural Disparity in Domestic Violence Prevalence and Access to Resources.” Journal of Women’s Health. Retrieved August 20, 2026, from </w:t>
      </w:r>
      <w:hyperlink r:id="rId10" w:history="1">
        <w:r w:rsidR="00526829" w:rsidRPr="005A034A">
          <w:rPr>
            <w:rStyle w:val="Hyperlink"/>
            <w:sz w:val="10"/>
            <w:szCs w:val="10"/>
          </w:rPr>
          <w:t>https://journals.sagepub.com/doi/10.1089/jwh.2011.2891</w:t>
        </w:r>
      </w:hyperlink>
      <w:r w:rsidR="00526829" w:rsidRPr="005A034A">
        <w:rPr>
          <w:sz w:val="10"/>
          <w:szCs w:val="10"/>
        </w:rPr>
        <w:t xml:space="preserve"> </w:t>
      </w:r>
    </w:p>
  </w:footnote>
  <w:footnote w:id="10">
    <w:p w14:paraId="545F2C94" w14:textId="03117AFF" w:rsidR="00291BE9" w:rsidRPr="005A034A" w:rsidRDefault="00291BE9" w:rsidP="005A034A">
      <w:pPr>
        <w:pStyle w:val="FootnoteText"/>
        <w:rPr>
          <w:sz w:val="10"/>
          <w:szCs w:val="10"/>
        </w:rPr>
      </w:pPr>
      <w:r w:rsidRPr="005A034A">
        <w:rPr>
          <w:rStyle w:val="FootnoteReference"/>
          <w:sz w:val="10"/>
          <w:szCs w:val="10"/>
        </w:rPr>
        <w:footnoteRef/>
      </w:r>
      <w:r w:rsidRPr="005A034A">
        <w:rPr>
          <w:sz w:val="10"/>
          <w:szCs w:val="10"/>
        </w:rPr>
        <w:t xml:space="preserve"> </w:t>
      </w:r>
      <w:r w:rsidR="00FC53B1" w:rsidRPr="005A034A">
        <w:rPr>
          <w:sz w:val="10"/>
          <w:szCs w:val="10"/>
        </w:rPr>
        <w:t>U.S. Centers for Disease Control &amp; Prevention (</w:t>
      </w:r>
      <w:r w:rsidRPr="005A034A">
        <w:rPr>
          <w:sz w:val="10"/>
          <w:szCs w:val="10"/>
        </w:rPr>
        <w:t>CDC</w:t>
      </w:r>
      <w:r w:rsidR="00FC53B1" w:rsidRPr="005A034A">
        <w:rPr>
          <w:sz w:val="10"/>
          <w:szCs w:val="10"/>
        </w:rPr>
        <w:t>)</w:t>
      </w:r>
      <w:r w:rsidRPr="005A034A">
        <w:rPr>
          <w:sz w:val="10"/>
          <w:szCs w:val="10"/>
        </w:rPr>
        <w:t xml:space="preserve">. (2024, January). “Sexual Violence Prevention: Risk and Protective Factors.” Retrieved August 14, 2026, from </w:t>
      </w:r>
      <w:hyperlink r:id="rId11" w:history="1">
        <w:r w:rsidRPr="005A034A">
          <w:rPr>
            <w:rStyle w:val="Hyperlink"/>
            <w:sz w:val="10"/>
            <w:szCs w:val="10"/>
          </w:rPr>
          <w:t>https://www.cdc.gov/sexual-violence/risk-factors/index.html</w:t>
        </w:r>
      </w:hyperlink>
      <w:r w:rsidRPr="005A034A">
        <w:rPr>
          <w:sz w:val="10"/>
          <w:szCs w:val="10"/>
        </w:rPr>
        <w:t> </w:t>
      </w:r>
    </w:p>
  </w:footnote>
  <w:footnote w:id="11">
    <w:p w14:paraId="53F02E57" w14:textId="3D867AB3" w:rsidR="00D82B9C" w:rsidRPr="005A034A" w:rsidRDefault="00D82B9C">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“Maryland Profile.” Retrieved August 14, 2026, from </w:t>
      </w:r>
      <w:hyperlink r:id="rId12" w:history="1">
        <w:r w:rsidRPr="005A034A">
          <w:rPr>
            <w:rStyle w:val="Hyperlink"/>
            <w:sz w:val="10"/>
            <w:szCs w:val="10"/>
          </w:rPr>
          <w:t>https://data.census.gov/profile/Maryland?g=040XX00US24</w:t>
        </w:r>
      </w:hyperlink>
    </w:p>
  </w:footnote>
  <w:footnote w:id="12">
    <w:p w14:paraId="493448E8" w14:textId="16B3073D" w:rsidR="00D82B9C" w:rsidRPr="005A034A" w:rsidRDefault="00D82B9C">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w:t>
      </w:r>
      <w:r w:rsidR="00F17522" w:rsidRPr="005A034A">
        <w:rPr>
          <w:sz w:val="10"/>
          <w:szCs w:val="10"/>
        </w:rPr>
        <w:t>Allegany</w:t>
      </w:r>
      <w:r w:rsidRPr="005A034A">
        <w:rPr>
          <w:sz w:val="10"/>
          <w:szCs w:val="10"/>
        </w:rPr>
        <w:t xml:space="preserve"> County, Maryland Profile.” Retrieved August 14, 2026, from </w:t>
      </w:r>
      <w:hyperlink r:id="rId13" w:history="1">
        <w:r w:rsidR="00F2064A" w:rsidRPr="005A034A">
          <w:rPr>
            <w:rStyle w:val="Hyperlink"/>
            <w:sz w:val="10"/>
            <w:szCs w:val="10"/>
          </w:rPr>
          <w:t>https://data.census.gov/profile/Allegany_County,_Maryland?g=050XX00US24001</w:t>
        </w:r>
      </w:hyperlink>
      <w:r w:rsidRPr="005A034A">
        <w:rPr>
          <w:sz w:val="10"/>
          <w:szCs w:val="10"/>
        </w:rPr>
        <w:t>  </w:t>
      </w:r>
    </w:p>
  </w:footnote>
  <w:footnote w:id="13">
    <w:p w14:paraId="0E92E15A" w14:textId="5390C365" w:rsidR="00F17522" w:rsidRPr="005A034A" w:rsidRDefault="00F17522">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“Calvert County, Maryland Profile.” Retrieved August 14, 2026, from </w:t>
      </w:r>
      <w:hyperlink r:id="rId14" w:anchor="populations-and-people" w:history="1">
        <w:r w:rsidRPr="005A034A">
          <w:rPr>
            <w:rStyle w:val="Hyperlink"/>
            <w:sz w:val="10"/>
            <w:szCs w:val="10"/>
          </w:rPr>
          <w:t>https://data.census.gov/profile/Calvert_County,_Maryland?g=050XX00US24009#populations-and-people</w:t>
        </w:r>
      </w:hyperlink>
      <w:r w:rsidRPr="005A034A">
        <w:rPr>
          <w:sz w:val="10"/>
          <w:szCs w:val="10"/>
        </w:rPr>
        <w:t> </w:t>
      </w:r>
    </w:p>
  </w:footnote>
  <w:footnote w:id="14">
    <w:p w14:paraId="71682017" w14:textId="132E391D" w:rsidR="00F17522" w:rsidRPr="005A034A" w:rsidRDefault="00F17522">
      <w:pPr>
        <w:pStyle w:val="FootnoteText"/>
        <w:rPr>
          <w:sz w:val="10"/>
          <w:szCs w:val="10"/>
        </w:rPr>
      </w:pPr>
      <w:r w:rsidRPr="005A034A">
        <w:rPr>
          <w:rStyle w:val="FootnoteReference"/>
          <w:sz w:val="10"/>
          <w:szCs w:val="10"/>
        </w:rPr>
        <w:footnoteRef/>
      </w:r>
      <w:r w:rsidRPr="005A034A">
        <w:rPr>
          <w:sz w:val="10"/>
          <w:szCs w:val="10"/>
        </w:rPr>
        <w:t xml:space="preserve"> </w:t>
      </w:r>
      <w:r w:rsidR="002B5843" w:rsidRPr="005A034A">
        <w:rPr>
          <w:sz w:val="10"/>
          <w:szCs w:val="10"/>
        </w:rPr>
        <w:t xml:space="preserve">The United States (U.S.) Census Bureau. (n.d.). “Caroline County, Maryland Profile.” Retrieved August 14, 2026, from </w:t>
      </w:r>
      <w:hyperlink r:id="rId15" w:history="1">
        <w:r w:rsidR="002B5843" w:rsidRPr="005A034A">
          <w:rPr>
            <w:rStyle w:val="Hyperlink"/>
            <w:sz w:val="10"/>
            <w:szCs w:val="10"/>
          </w:rPr>
          <w:t>https://data.census.gov/profile/Caroline_County,_Maryland?g=050XX00US24011</w:t>
        </w:r>
      </w:hyperlink>
      <w:r w:rsidR="002B5843" w:rsidRPr="005A034A">
        <w:rPr>
          <w:sz w:val="10"/>
          <w:szCs w:val="10"/>
        </w:rPr>
        <w:t> </w:t>
      </w:r>
    </w:p>
  </w:footnote>
  <w:footnote w:id="15">
    <w:p w14:paraId="20C2850A" w14:textId="34DB3F0B" w:rsidR="002B5843" w:rsidRPr="005A034A" w:rsidRDefault="002B5843">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“Carroll County, Maryland Profile.” Retrieved August 14, 2026, from </w:t>
      </w:r>
      <w:hyperlink r:id="rId16" w:history="1">
        <w:r w:rsidRPr="005A034A">
          <w:rPr>
            <w:rStyle w:val="Hyperlink"/>
            <w:sz w:val="10"/>
            <w:szCs w:val="10"/>
          </w:rPr>
          <w:t>https://data.census.gov/profile/Carroll_County,_Maryland?g=050XX00US24013</w:t>
        </w:r>
      </w:hyperlink>
      <w:r w:rsidRPr="005A034A">
        <w:rPr>
          <w:sz w:val="10"/>
          <w:szCs w:val="10"/>
        </w:rPr>
        <w:t> </w:t>
      </w:r>
    </w:p>
  </w:footnote>
  <w:footnote w:id="16">
    <w:p w14:paraId="704E1C7B" w14:textId="413C88FB" w:rsidR="002B5843" w:rsidRPr="005A034A" w:rsidRDefault="002B5843">
      <w:pPr>
        <w:pStyle w:val="FootnoteText"/>
        <w:rPr>
          <w:sz w:val="10"/>
          <w:szCs w:val="10"/>
        </w:rPr>
      </w:pPr>
      <w:r w:rsidRPr="005A034A">
        <w:rPr>
          <w:rStyle w:val="FootnoteReference"/>
          <w:sz w:val="10"/>
          <w:szCs w:val="10"/>
        </w:rPr>
        <w:footnoteRef/>
      </w:r>
      <w:r w:rsidRPr="005A034A">
        <w:rPr>
          <w:sz w:val="10"/>
          <w:szCs w:val="10"/>
        </w:rPr>
        <w:t xml:space="preserve"> </w:t>
      </w:r>
      <w:r w:rsidR="00016285" w:rsidRPr="005A034A">
        <w:rPr>
          <w:sz w:val="10"/>
          <w:szCs w:val="10"/>
        </w:rPr>
        <w:t xml:space="preserve">The United States (U.S.) Census Bureau. (n.d.). “Cecil County, Maryland Profile.” Retrieved August 14, 2026, from </w:t>
      </w:r>
      <w:hyperlink r:id="rId17" w:history="1">
        <w:r w:rsidR="00016285" w:rsidRPr="005A034A">
          <w:rPr>
            <w:rStyle w:val="Hyperlink"/>
            <w:sz w:val="10"/>
            <w:szCs w:val="10"/>
          </w:rPr>
          <w:t>https://data.census.gov/profile/Cecil_County,_Maryland?g=050XX00US24015</w:t>
        </w:r>
      </w:hyperlink>
      <w:r w:rsidR="00016285" w:rsidRPr="005A034A">
        <w:rPr>
          <w:sz w:val="10"/>
          <w:szCs w:val="10"/>
        </w:rPr>
        <w:t> </w:t>
      </w:r>
    </w:p>
  </w:footnote>
  <w:footnote w:id="17">
    <w:p w14:paraId="3692AF81" w14:textId="30C5010C" w:rsidR="002323D6" w:rsidRPr="005A034A" w:rsidRDefault="002323D6">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“Charles County, Maryland Profile.” Retrieved August 14, 2026, from </w:t>
      </w:r>
      <w:hyperlink r:id="rId18" w:history="1">
        <w:r w:rsidRPr="005A034A">
          <w:rPr>
            <w:rStyle w:val="Hyperlink"/>
            <w:sz w:val="10"/>
            <w:szCs w:val="10"/>
          </w:rPr>
          <w:t>https://data.census.gov/profile/Charles_County,_Maryland?g=050XX00US24017</w:t>
        </w:r>
      </w:hyperlink>
      <w:r w:rsidRPr="005A034A">
        <w:rPr>
          <w:sz w:val="10"/>
          <w:szCs w:val="10"/>
        </w:rPr>
        <w:t> </w:t>
      </w:r>
    </w:p>
  </w:footnote>
  <w:footnote w:id="18">
    <w:p w14:paraId="3EE7C8CF" w14:textId="07B7A4A1" w:rsidR="002323D6" w:rsidRPr="005A034A" w:rsidRDefault="002323D6">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“Dorchester County, Maryland Profile.” Retrieved August 14, 2026, from </w:t>
      </w:r>
      <w:hyperlink r:id="rId19" w:history="1">
        <w:r w:rsidRPr="005A034A">
          <w:rPr>
            <w:rStyle w:val="Hyperlink"/>
            <w:sz w:val="10"/>
            <w:szCs w:val="10"/>
          </w:rPr>
          <w:t>https://data.census.gov/profile/Dorchester_County,_Maryland?g=050XX00US24019</w:t>
        </w:r>
      </w:hyperlink>
      <w:r w:rsidRPr="005A034A">
        <w:rPr>
          <w:sz w:val="10"/>
          <w:szCs w:val="10"/>
        </w:rPr>
        <w:t> </w:t>
      </w:r>
    </w:p>
  </w:footnote>
  <w:footnote w:id="19">
    <w:p w14:paraId="4E404790" w14:textId="4E173730" w:rsidR="002323D6" w:rsidRPr="005A034A" w:rsidRDefault="002323D6">
      <w:pPr>
        <w:pStyle w:val="FootnoteText"/>
        <w:rPr>
          <w:sz w:val="10"/>
          <w:szCs w:val="10"/>
        </w:rPr>
      </w:pPr>
      <w:r w:rsidRPr="005A034A">
        <w:rPr>
          <w:rStyle w:val="FootnoteReference"/>
          <w:sz w:val="10"/>
          <w:szCs w:val="10"/>
        </w:rPr>
        <w:footnoteRef/>
      </w:r>
      <w:r w:rsidRPr="005A034A">
        <w:rPr>
          <w:sz w:val="10"/>
          <w:szCs w:val="10"/>
        </w:rPr>
        <w:t xml:space="preserve"> </w:t>
      </w:r>
      <w:r w:rsidR="00FE5B23" w:rsidRPr="005A034A">
        <w:rPr>
          <w:sz w:val="10"/>
          <w:szCs w:val="10"/>
        </w:rPr>
        <w:t xml:space="preserve"> The United States (U.S.) Census Bureau. (n.d.). “Frederick County, Maryland Profile.” Retrieved August 14, 2026, from </w:t>
      </w:r>
      <w:hyperlink r:id="rId20" w:history="1">
        <w:r w:rsidR="00FE5B23" w:rsidRPr="005A034A">
          <w:rPr>
            <w:rStyle w:val="Hyperlink"/>
            <w:sz w:val="10"/>
            <w:szCs w:val="10"/>
          </w:rPr>
          <w:t>https://data.census.gov/profile/Frederick_County,_Maryland?g=050XX00US24021</w:t>
        </w:r>
      </w:hyperlink>
      <w:r w:rsidR="00FE5B23" w:rsidRPr="005A034A">
        <w:rPr>
          <w:sz w:val="10"/>
          <w:szCs w:val="10"/>
        </w:rPr>
        <w:t> </w:t>
      </w:r>
    </w:p>
  </w:footnote>
  <w:footnote w:id="20">
    <w:p w14:paraId="6DC6B5B1" w14:textId="35350BC0" w:rsidR="00FE5B23" w:rsidRPr="005A034A" w:rsidRDefault="00FE5B23">
      <w:pPr>
        <w:pStyle w:val="FootnoteText"/>
        <w:rPr>
          <w:sz w:val="10"/>
          <w:szCs w:val="10"/>
        </w:rPr>
      </w:pPr>
      <w:r w:rsidRPr="005A034A">
        <w:rPr>
          <w:rStyle w:val="FootnoteReference"/>
          <w:sz w:val="10"/>
          <w:szCs w:val="10"/>
        </w:rPr>
        <w:footnoteRef/>
      </w:r>
      <w:r w:rsidRPr="005A034A">
        <w:rPr>
          <w:sz w:val="10"/>
          <w:szCs w:val="10"/>
        </w:rPr>
        <w:t xml:space="preserve"> </w:t>
      </w:r>
      <w:r w:rsidR="00FF5129" w:rsidRPr="005A034A">
        <w:rPr>
          <w:sz w:val="10"/>
          <w:szCs w:val="10"/>
        </w:rPr>
        <w:t xml:space="preserve">The United States (U.S.) Census Bureau. (n.d.). “Garrett County, Maryland Profile.” Retrieved August 14, 2026, from </w:t>
      </w:r>
      <w:hyperlink r:id="rId21" w:history="1">
        <w:r w:rsidR="00FF5129" w:rsidRPr="005A034A">
          <w:rPr>
            <w:rStyle w:val="Hyperlink"/>
            <w:sz w:val="10"/>
            <w:szCs w:val="10"/>
          </w:rPr>
          <w:t>https://data.census.gov/profile/Garrett_County,_Maryland?g=050XX00US24023</w:t>
        </w:r>
      </w:hyperlink>
      <w:r w:rsidR="00FF5129" w:rsidRPr="005A034A">
        <w:rPr>
          <w:sz w:val="10"/>
          <w:szCs w:val="10"/>
        </w:rPr>
        <w:t> </w:t>
      </w:r>
    </w:p>
  </w:footnote>
  <w:footnote w:id="21">
    <w:p w14:paraId="009314F9" w14:textId="60D190D4" w:rsidR="00FF5129" w:rsidRPr="005A034A" w:rsidRDefault="00FF5129">
      <w:pPr>
        <w:pStyle w:val="FootnoteText"/>
        <w:rPr>
          <w:sz w:val="10"/>
          <w:szCs w:val="10"/>
        </w:rPr>
      </w:pPr>
      <w:r w:rsidRPr="005A034A">
        <w:rPr>
          <w:rStyle w:val="FootnoteReference"/>
          <w:sz w:val="10"/>
          <w:szCs w:val="10"/>
        </w:rPr>
        <w:footnoteRef/>
      </w:r>
      <w:r w:rsidRPr="005A034A">
        <w:rPr>
          <w:sz w:val="10"/>
          <w:szCs w:val="10"/>
        </w:rPr>
        <w:t xml:space="preserve"> </w:t>
      </w:r>
      <w:r w:rsidR="00E37DB8" w:rsidRPr="005A034A">
        <w:rPr>
          <w:sz w:val="10"/>
          <w:szCs w:val="10"/>
        </w:rPr>
        <w:t xml:space="preserve">The United States (U.S.) Census Bureau. (n.d.). “Harford County, Maryland Profile.” Retrieved August 14, 2026, from </w:t>
      </w:r>
      <w:hyperlink r:id="rId22" w:history="1">
        <w:r w:rsidR="00E37DB8" w:rsidRPr="005A034A">
          <w:rPr>
            <w:rStyle w:val="Hyperlink"/>
            <w:sz w:val="10"/>
            <w:szCs w:val="10"/>
          </w:rPr>
          <w:t>https://data.census.gov/profile/Harford_County,_Maryland?g=050XX00US24025</w:t>
        </w:r>
      </w:hyperlink>
      <w:r w:rsidR="00E37DB8" w:rsidRPr="005A034A">
        <w:rPr>
          <w:sz w:val="10"/>
          <w:szCs w:val="10"/>
        </w:rPr>
        <w:t> </w:t>
      </w:r>
    </w:p>
  </w:footnote>
  <w:footnote w:id="22">
    <w:p w14:paraId="3EA0461C" w14:textId="068AAC93" w:rsidR="00E37DB8" w:rsidRPr="005A034A" w:rsidRDefault="00E37DB8">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“Kent County, Maryland Profile.” Retrieved August 14, 2026, from </w:t>
      </w:r>
      <w:hyperlink r:id="rId23" w:history="1">
        <w:r w:rsidRPr="005A034A">
          <w:rPr>
            <w:rStyle w:val="Hyperlink"/>
            <w:sz w:val="10"/>
            <w:szCs w:val="10"/>
          </w:rPr>
          <w:t>https://data.census.gov/profile/Kent_County,_Maryland?g=050XX00US24029</w:t>
        </w:r>
      </w:hyperlink>
      <w:r w:rsidRPr="005A034A">
        <w:rPr>
          <w:sz w:val="10"/>
          <w:szCs w:val="10"/>
        </w:rPr>
        <w:t> </w:t>
      </w:r>
    </w:p>
  </w:footnote>
  <w:footnote w:id="23">
    <w:p w14:paraId="7FE8646C" w14:textId="7F2A7706" w:rsidR="00E37DB8" w:rsidRPr="005A034A" w:rsidRDefault="00E37DB8">
      <w:pPr>
        <w:pStyle w:val="FootnoteText"/>
        <w:rPr>
          <w:sz w:val="10"/>
          <w:szCs w:val="10"/>
        </w:rPr>
      </w:pPr>
      <w:r w:rsidRPr="005A034A">
        <w:rPr>
          <w:rStyle w:val="FootnoteReference"/>
          <w:sz w:val="10"/>
          <w:szCs w:val="10"/>
        </w:rPr>
        <w:footnoteRef/>
      </w:r>
      <w:r w:rsidRPr="005A034A">
        <w:rPr>
          <w:sz w:val="10"/>
          <w:szCs w:val="10"/>
        </w:rPr>
        <w:t xml:space="preserve"> </w:t>
      </w:r>
      <w:r w:rsidR="001971FD" w:rsidRPr="005A034A">
        <w:rPr>
          <w:sz w:val="10"/>
          <w:szCs w:val="10"/>
        </w:rPr>
        <w:t xml:space="preserve">The United States (U.S.) Census Bureau. (n.d.). “Queen Anne’s County, Maryland Profile.” Retrieved August 14, 2026, from </w:t>
      </w:r>
      <w:hyperlink r:id="rId24" w:history="1">
        <w:r w:rsidR="001971FD" w:rsidRPr="005A034A">
          <w:rPr>
            <w:rStyle w:val="Hyperlink"/>
            <w:sz w:val="10"/>
            <w:szCs w:val="10"/>
          </w:rPr>
          <w:t>https://data.census.gov/profile/Queen_Anne%27s_County,_Maryland?g=050XX00US24035</w:t>
        </w:r>
      </w:hyperlink>
      <w:r w:rsidR="001971FD" w:rsidRPr="005A034A">
        <w:rPr>
          <w:sz w:val="10"/>
          <w:szCs w:val="10"/>
        </w:rPr>
        <w:t> </w:t>
      </w:r>
    </w:p>
  </w:footnote>
  <w:footnote w:id="24">
    <w:p w14:paraId="593C4461" w14:textId="412F4671" w:rsidR="001971FD" w:rsidRPr="005A034A" w:rsidRDefault="001971FD">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“Somerset County, Maryland Profile.” Retrieved August 14, 2026, from </w:t>
      </w:r>
      <w:hyperlink r:id="rId25" w:history="1">
        <w:r w:rsidRPr="005A034A">
          <w:rPr>
            <w:rStyle w:val="Hyperlink"/>
            <w:sz w:val="10"/>
            <w:szCs w:val="10"/>
          </w:rPr>
          <w:t>https://data.census.gov/profile/Somerset_County,_Maryland?g=050XX00US24039</w:t>
        </w:r>
      </w:hyperlink>
      <w:r w:rsidRPr="005A034A">
        <w:rPr>
          <w:sz w:val="10"/>
          <w:szCs w:val="10"/>
        </w:rPr>
        <w:t> </w:t>
      </w:r>
    </w:p>
  </w:footnote>
  <w:footnote w:id="25">
    <w:p w14:paraId="1DBF32F7" w14:textId="3931E1F9" w:rsidR="001971FD" w:rsidRPr="005A034A" w:rsidRDefault="001971FD">
      <w:pPr>
        <w:pStyle w:val="FootnoteText"/>
        <w:rPr>
          <w:sz w:val="10"/>
          <w:szCs w:val="10"/>
        </w:rPr>
      </w:pPr>
      <w:r w:rsidRPr="005A034A">
        <w:rPr>
          <w:rStyle w:val="FootnoteReference"/>
          <w:sz w:val="10"/>
          <w:szCs w:val="10"/>
        </w:rPr>
        <w:footnoteRef/>
      </w:r>
      <w:r w:rsidRPr="005A034A">
        <w:rPr>
          <w:sz w:val="10"/>
          <w:szCs w:val="10"/>
        </w:rPr>
        <w:t xml:space="preserve"> </w:t>
      </w:r>
      <w:r w:rsidR="00142760" w:rsidRPr="005A034A">
        <w:rPr>
          <w:sz w:val="10"/>
          <w:szCs w:val="10"/>
        </w:rPr>
        <w:t xml:space="preserve">The United States (U.S.) Census Bureau. (n.d.). “St. Mary’s County, Maryland Profile.” Retrieved August 14, 2026, from </w:t>
      </w:r>
      <w:hyperlink r:id="rId26" w:history="1">
        <w:r w:rsidR="00142760" w:rsidRPr="005A034A">
          <w:rPr>
            <w:rStyle w:val="Hyperlink"/>
            <w:sz w:val="10"/>
            <w:szCs w:val="10"/>
          </w:rPr>
          <w:t>https://data.census.gov/profile/St._Mary%27s_County,_Maryland?g=050XX00US24037</w:t>
        </w:r>
      </w:hyperlink>
      <w:r w:rsidR="00142760" w:rsidRPr="005A034A">
        <w:rPr>
          <w:sz w:val="10"/>
          <w:szCs w:val="10"/>
        </w:rPr>
        <w:t> </w:t>
      </w:r>
    </w:p>
  </w:footnote>
  <w:footnote w:id="26">
    <w:p w14:paraId="68CAB5B5" w14:textId="03AA70E0" w:rsidR="00142760" w:rsidRPr="005A034A" w:rsidRDefault="00142760">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“Talbot County, Maryland Profile.” Retrieved August 14, 2026, from </w:t>
      </w:r>
      <w:hyperlink r:id="rId27" w:history="1">
        <w:r w:rsidRPr="005A034A">
          <w:rPr>
            <w:rStyle w:val="Hyperlink"/>
            <w:sz w:val="10"/>
            <w:szCs w:val="10"/>
          </w:rPr>
          <w:t>https://data.census.gov/profile/Talbot_County,_Maryland?g=050XX00US24041</w:t>
        </w:r>
      </w:hyperlink>
      <w:r w:rsidRPr="005A034A">
        <w:rPr>
          <w:sz w:val="10"/>
          <w:szCs w:val="10"/>
        </w:rPr>
        <w:t> </w:t>
      </w:r>
    </w:p>
  </w:footnote>
  <w:footnote w:id="27">
    <w:p w14:paraId="31049577" w14:textId="4729ABE0" w:rsidR="00007D20" w:rsidRPr="005A034A" w:rsidRDefault="00007D20">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“Washington County, Maryland Profile.” Retrieved August 14, 2026, from </w:t>
      </w:r>
      <w:hyperlink r:id="rId28" w:history="1">
        <w:r w:rsidRPr="005A034A">
          <w:rPr>
            <w:rStyle w:val="Hyperlink"/>
            <w:sz w:val="10"/>
            <w:szCs w:val="10"/>
          </w:rPr>
          <w:t>https://data.census.gov/profile/Washington_County,_Maryland?g=050XX00US24043</w:t>
        </w:r>
      </w:hyperlink>
      <w:r w:rsidRPr="005A034A">
        <w:rPr>
          <w:sz w:val="10"/>
          <w:szCs w:val="10"/>
        </w:rPr>
        <w:t> </w:t>
      </w:r>
    </w:p>
  </w:footnote>
  <w:footnote w:id="28">
    <w:p w14:paraId="66EF5564" w14:textId="793889D2" w:rsidR="00007D20" w:rsidRPr="005A034A" w:rsidRDefault="00007D20">
      <w:pPr>
        <w:pStyle w:val="FootnoteText"/>
        <w:rPr>
          <w:sz w:val="10"/>
          <w:szCs w:val="10"/>
        </w:rPr>
      </w:pPr>
      <w:r w:rsidRPr="005A034A">
        <w:rPr>
          <w:rStyle w:val="FootnoteReference"/>
          <w:sz w:val="10"/>
          <w:szCs w:val="10"/>
        </w:rPr>
        <w:footnoteRef/>
      </w:r>
      <w:r w:rsidRPr="005A034A">
        <w:rPr>
          <w:sz w:val="10"/>
          <w:szCs w:val="10"/>
        </w:rPr>
        <w:t xml:space="preserve"> </w:t>
      </w:r>
      <w:r w:rsidR="00727B5A" w:rsidRPr="005A034A">
        <w:rPr>
          <w:sz w:val="10"/>
          <w:szCs w:val="10"/>
        </w:rPr>
        <w:t xml:space="preserve">The United States (U.S.) Census Bureau. (n.d.). “Wicomico County, Maryland Profile.” Retrieved August 14, 2026, from </w:t>
      </w:r>
      <w:hyperlink r:id="rId29" w:history="1">
        <w:r w:rsidR="00727B5A" w:rsidRPr="005A034A">
          <w:rPr>
            <w:rStyle w:val="Hyperlink"/>
            <w:sz w:val="10"/>
            <w:szCs w:val="10"/>
          </w:rPr>
          <w:t>https://data.census.gov/profile/Wicomico_County,_Maryland?g=050XX00US24045</w:t>
        </w:r>
      </w:hyperlink>
    </w:p>
  </w:footnote>
  <w:footnote w:id="29">
    <w:p w14:paraId="799C5A10" w14:textId="1FF02E18" w:rsidR="00727B5A" w:rsidRPr="005A034A" w:rsidRDefault="00727B5A">
      <w:pPr>
        <w:pStyle w:val="FootnoteText"/>
        <w:rPr>
          <w:sz w:val="10"/>
          <w:szCs w:val="10"/>
        </w:rPr>
      </w:pPr>
      <w:r w:rsidRPr="005A034A">
        <w:rPr>
          <w:rStyle w:val="FootnoteReference"/>
          <w:sz w:val="10"/>
          <w:szCs w:val="10"/>
        </w:rPr>
        <w:footnoteRef/>
      </w:r>
      <w:r w:rsidRPr="005A034A">
        <w:rPr>
          <w:sz w:val="10"/>
          <w:szCs w:val="10"/>
        </w:rPr>
        <w:t xml:space="preserve"> The United States (U.S.) Census Bureau. (n.d.). “Worcester County, Maryland Profile.” Retrieved August 14, 2026, from </w:t>
      </w:r>
      <w:hyperlink r:id="rId30" w:history="1">
        <w:r w:rsidRPr="005A034A">
          <w:rPr>
            <w:rStyle w:val="Hyperlink"/>
            <w:sz w:val="10"/>
            <w:szCs w:val="10"/>
          </w:rPr>
          <w:t>https://data.census.gov/profile/Worcester_County,_Maryland?g=050XX00US24047</w:t>
        </w:r>
      </w:hyperlink>
    </w:p>
  </w:footnote>
  <w:footnote w:id="30">
    <w:p w14:paraId="354C293B" w14:textId="77777777" w:rsidR="00226649" w:rsidRPr="005A034A" w:rsidRDefault="00226649" w:rsidP="00226649">
      <w:pPr>
        <w:pStyle w:val="FootnoteText"/>
        <w:rPr>
          <w:sz w:val="10"/>
          <w:szCs w:val="10"/>
        </w:rPr>
      </w:pPr>
      <w:r w:rsidRPr="005A034A">
        <w:rPr>
          <w:rStyle w:val="FootnoteReference"/>
          <w:sz w:val="10"/>
          <w:szCs w:val="10"/>
        </w:rPr>
        <w:footnoteRef/>
      </w:r>
      <w:r w:rsidRPr="005A034A">
        <w:rPr>
          <w:sz w:val="10"/>
          <w:szCs w:val="10"/>
        </w:rPr>
        <w:t xml:space="preserve"> Feeding America. (2026). “Food Security Among the Overall Population in Maryland.” Retrieved August 20, 2026, from </w:t>
      </w:r>
      <w:hyperlink r:id="rId31" w:history="1">
        <w:r w:rsidRPr="005A034A">
          <w:rPr>
            <w:rStyle w:val="Hyperlink"/>
            <w:sz w:val="10"/>
            <w:szCs w:val="10"/>
          </w:rPr>
          <w:t>https://map.feedingamerica.org/county/2024/overall/maryland</w:t>
        </w:r>
      </w:hyperlink>
      <w:r w:rsidRPr="005A034A">
        <w:rPr>
          <w:sz w:val="10"/>
          <w:szCs w:val="10"/>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1C59" w14:textId="32CF41D8" w:rsidR="00D17A2D" w:rsidRPr="0078777B" w:rsidRDefault="00775C42" w:rsidP="0078777B">
    <w:pPr>
      <w:rPr>
        <w:rFonts w:ascii="Bell MT" w:hAnsi="Bell MT"/>
        <w:b/>
        <w:color w:val="5B9BD5"/>
        <w:sz w:val="44"/>
        <w:szCs w:val="44"/>
      </w:rPr>
    </w:pPr>
    <w:r>
      <w:rPr>
        <w:rFonts w:ascii="Bell MT" w:hAnsi="Bell MT"/>
        <w:b/>
        <w:noProof/>
        <w:color w:val="5B9BD5"/>
        <w:sz w:val="44"/>
        <w:szCs w:val="44"/>
        <w14:ligatures w14:val="standardContextual"/>
      </w:rPr>
      <w:drawing>
        <wp:anchor distT="0" distB="0" distL="114300" distR="114300" simplePos="0" relativeHeight="251659264" behindDoc="0" locked="0" layoutInCell="1" allowOverlap="1" wp14:anchorId="541DC486" wp14:editId="72964DC8">
          <wp:simplePos x="0" y="0"/>
          <wp:positionH relativeFrom="column">
            <wp:posOffset>4152900</wp:posOffset>
          </wp:positionH>
          <wp:positionV relativeFrom="paragraph">
            <wp:posOffset>-431800</wp:posOffset>
          </wp:positionV>
          <wp:extent cx="2680486" cy="914400"/>
          <wp:effectExtent l="0" t="0" r="0" b="0"/>
          <wp:wrapNone/>
          <wp:docPr id="1359363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340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680486"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C80"/>
    <w:multiLevelType w:val="multilevel"/>
    <w:tmpl w:val="BA327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317861"/>
    <w:multiLevelType w:val="hybridMultilevel"/>
    <w:tmpl w:val="A72A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964AF"/>
    <w:multiLevelType w:val="hybridMultilevel"/>
    <w:tmpl w:val="C968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B0489"/>
    <w:multiLevelType w:val="hybridMultilevel"/>
    <w:tmpl w:val="755CA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D1AD8"/>
    <w:multiLevelType w:val="hybridMultilevel"/>
    <w:tmpl w:val="75D87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A2DC5"/>
    <w:multiLevelType w:val="hybridMultilevel"/>
    <w:tmpl w:val="0F045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766925"/>
    <w:multiLevelType w:val="hybridMultilevel"/>
    <w:tmpl w:val="E7A2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C67174"/>
    <w:multiLevelType w:val="hybridMultilevel"/>
    <w:tmpl w:val="8AB4A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80873"/>
    <w:multiLevelType w:val="hybridMultilevel"/>
    <w:tmpl w:val="94424F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F96C50"/>
    <w:multiLevelType w:val="hybridMultilevel"/>
    <w:tmpl w:val="370C2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276651"/>
    <w:multiLevelType w:val="multilevel"/>
    <w:tmpl w:val="FF945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E62605"/>
    <w:multiLevelType w:val="hybridMultilevel"/>
    <w:tmpl w:val="AD1A3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57B04"/>
    <w:multiLevelType w:val="hybridMultilevel"/>
    <w:tmpl w:val="2D543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1A12C0"/>
    <w:multiLevelType w:val="hybridMultilevel"/>
    <w:tmpl w:val="E25451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0BD75AF"/>
    <w:multiLevelType w:val="hybridMultilevel"/>
    <w:tmpl w:val="CAA83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F91576"/>
    <w:multiLevelType w:val="multilevel"/>
    <w:tmpl w:val="2C60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B1AF3"/>
    <w:multiLevelType w:val="hybridMultilevel"/>
    <w:tmpl w:val="29A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95E6C"/>
    <w:multiLevelType w:val="multilevel"/>
    <w:tmpl w:val="30B8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353BB3"/>
    <w:multiLevelType w:val="hybridMultilevel"/>
    <w:tmpl w:val="1560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6607A1"/>
    <w:multiLevelType w:val="multilevel"/>
    <w:tmpl w:val="2AB6E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D52D4B"/>
    <w:multiLevelType w:val="hybridMultilevel"/>
    <w:tmpl w:val="A4EC9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BE6ECB"/>
    <w:multiLevelType w:val="multilevel"/>
    <w:tmpl w:val="719A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80923">
    <w:abstractNumId w:val="12"/>
  </w:num>
  <w:num w:numId="2" w16cid:durableId="806315822">
    <w:abstractNumId w:val="4"/>
  </w:num>
  <w:num w:numId="3" w16cid:durableId="1139301700">
    <w:abstractNumId w:val="17"/>
  </w:num>
  <w:num w:numId="4" w16cid:durableId="1096831809">
    <w:abstractNumId w:val="19"/>
  </w:num>
  <w:num w:numId="5" w16cid:durableId="2099137149">
    <w:abstractNumId w:val="21"/>
  </w:num>
  <w:num w:numId="6" w16cid:durableId="1656950475">
    <w:abstractNumId w:val="20"/>
  </w:num>
  <w:num w:numId="7" w16cid:durableId="1834684580">
    <w:abstractNumId w:val="11"/>
  </w:num>
  <w:num w:numId="8" w16cid:durableId="1345981423">
    <w:abstractNumId w:val="16"/>
  </w:num>
  <w:num w:numId="9" w16cid:durableId="741563762">
    <w:abstractNumId w:val="0"/>
  </w:num>
  <w:num w:numId="10" w16cid:durableId="875193457">
    <w:abstractNumId w:val="13"/>
  </w:num>
  <w:num w:numId="11" w16cid:durableId="76100285">
    <w:abstractNumId w:val="3"/>
  </w:num>
  <w:num w:numId="12" w16cid:durableId="1526678527">
    <w:abstractNumId w:val="5"/>
  </w:num>
  <w:num w:numId="13" w16cid:durableId="1458141398">
    <w:abstractNumId w:val="14"/>
  </w:num>
  <w:num w:numId="14" w16cid:durableId="522089281">
    <w:abstractNumId w:val="10"/>
  </w:num>
  <w:num w:numId="15" w16cid:durableId="459301982">
    <w:abstractNumId w:val="7"/>
  </w:num>
  <w:num w:numId="16" w16cid:durableId="934292190">
    <w:abstractNumId w:val="8"/>
  </w:num>
  <w:num w:numId="17" w16cid:durableId="750352415">
    <w:abstractNumId w:val="6"/>
  </w:num>
  <w:num w:numId="18" w16cid:durableId="196547081">
    <w:abstractNumId w:val="18"/>
  </w:num>
  <w:num w:numId="19" w16cid:durableId="1796950321">
    <w:abstractNumId w:val="9"/>
  </w:num>
  <w:num w:numId="20" w16cid:durableId="1159153184">
    <w:abstractNumId w:val="2"/>
  </w:num>
  <w:num w:numId="21" w16cid:durableId="781414647">
    <w:abstractNumId w:val="1"/>
  </w:num>
  <w:num w:numId="22" w16cid:durableId="17271022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A2D"/>
    <w:rsid w:val="0000307C"/>
    <w:rsid w:val="00003AD4"/>
    <w:rsid w:val="00003C08"/>
    <w:rsid w:val="00007D20"/>
    <w:rsid w:val="000122AD"/>
    <w:rsid w:val="00016285"/>
    <w:rsid w:val="00046943"/>
    <w:rsid w:val="00047A54"/>
    <w:rsid w:val="000525A6"/>
    <w:rsid w:val="000822C3"/>
    <w:rsid w:val="00084DC5"/>
    <w:rsid w:val="00092979"/>
    <w:rsid w:val="000940E7"/>
    <w:rsid w:val="00097507"/>
    <w:rsid w:val="000977D8"/>
    <w:rsid w:val="000A4C61"/>
    <w:rsid w:val="000A7991"/>
    <w:rsid w:val="000B03B3"/>
    <w:rsid w:val="000B7861"/>
    <w:rsid w:val="000C0EF0"/>
    <w:rsid w:val="000E002D"/>
    <w:rsid w:val="000E0141"/>
    <w:rsid w:val="000E509D"/>
    <w:rsid w:val="000E6176"/>
    <w:rsid w:val="000F31FE"/>
    <w:rsid w:val="00103A0B"/>
    <w:rsid w:val="0011063D"/>
    <w:rsid w:val="0011286E"/>
    <w:rsid w:val="001228DE"/>
    <w:rsid w:val="00123D51"/>
    <w:rsid w:val="00133522"/>
    <w:rsid w:val="00137741"/>
    <w:rsid w:val="0014049E"/>
    <w:rsid w:val="0014134E"/>
    <w:rsid w:val="00142760"/>
    <w:rsid w:val="001505B5"/>
    <w:rsid w:val="00156FE2"/>
    <w:rsid w:val="00157310"/>
    <w:rsid w:val="00157870"/>
    <w:rsid w:val="00167D07"/>
    <w:rsid w:val="001971FD"/>
    <w:rsid w:val="001A2DE2"/>
    <w:rsid w:val="001A5D90"/>
    <w:rsid w:val="001B58DA"/>
    <w:rsid w:val="001B78E9"/>
    <w:rsid w:val="001C2FDC"/>
    <w:rsid w:val="001C56F1"/>
    <w:rsid w:val="001D1E0C"/>
    <w:rsid w:val="001D6A91"/>
    <w:rsid w:val="001D716D"/>
    <w:rsid w:val="001E52D4"/>
    <w:rsid w:val="001F378B"/>
    <w:rsid w:val="0020340A"/>
    <w:rsid w:val="00213E15"/>
    <w:rsid w:val="002254BD"/>
    <w:rsid w:val="00226649"/>
    <w:rsid w:val="002323D6"/>
    <w:rsid w:val="0023687B"/>
    <w:rsid w:val="00242A20"/>
    <w:rsid w:val="00243109"/>
    <w:rsid w:val="0024578C"/>
    <w:rsid w:val="00246C91"/>
    <w:rsid w:val="00253B5D"/>
    <w:rsid w:val="002671EA"/>
    <w:rsid w:val="00277DB1"/>
    <w:rsid w:val="00283ACC"/>
    <w:rsid w:val="002906F6"/>
    <w:rsid w:val="00291BE9"/>
    <w:rsid w:val="00293D07"/>
    <w:rsid w:val="00293E9D"/>
    <w:rsid w:val="002A3742"/>
    <w:rsid w:val="002A70C5"/>
    <w:rsid w:val="002B5843"/>
    <w:rsid w:val="002B6AB3"/>
    <w:rsid w:val="002C3517"/>
    <w:rsid w:val="002C4E8C"/>
    <w:rsid w:val="002C720F"/>
    <w:rsid w:val="002D5F80"/>
    <w:rsid w:val="002E32D4"/>
    <w:rsid w:val="002F20FD"/>
    <w:rsid w:val="002F240D"/>
    <w:rsid w:val="002F317F"/>
    <w:rsid w:val="002F3C27"/>
    <w:rsid w:val="002F64E7"/>
    <w:rsid w:val="003136C9"/>
    <w:rsid w:val="00313C80"/>
    <w:rsid w:val="00314C0D"/>
    <w:rsid w:val="003243AB"/>
    <w:rsid w:val="00325423"/>
    <w:rsid w:val="00331EE5"/>
    <w:rsid w:val="0033346C"/>
    <w:rsid w:val="00334E7F"/>
    <w:rsid w:val="00350D97"/>
    <w:rsid w:val="00351681"/>
    <w:rsid w:val="00354D1D"/>
    <w:rsid w:val="003573B7"/>
    <w:rsid w:val="00363662"/>
    <w:rsid w:val="00376AEC"/>
    <w:rsid w:val="003825EC"/>
    <w:rsid w:val="003837DE"/>
    <w:rsid w:val="003863D2"/>
    <w:rsid w:val="0038697C"/>
    <w:rsid w:val="00386C63"/>
    <w:rsid w:val="0039040D"/>
    <w:rsid w:val="00393752"/>
    <w:rsid w:val="003B23D1"/>
    <w:rsid w:val="003B2A12"/>
    <w:rsid w:val="003B7733"/>
    <w:rsid w:val="003B788D"/>
    <w:rsid w:val="003C4B3E"/>
    <w:rsid w:val="003D09CC"/>
    <w:rsid w:val="003D3BCB"/>
    <w:rsid w:val="003D3EBE"/>
    <w:rsid w:val="003D712F"/>
    <w:rsid w:val="003E0B79"/>
    <w:rsid w:val="003E1766"/>
    <w:rsid w:val="003E5E9B"/>
    <w:rsid w:val="003E7FA5"/>
    <w:rsid w:val="003F23F1"/>
    <w:rsid w:val="00403910"/>
    <w:rsid w:val="00406CB7"/>
    <w:rsid w:val="004138EF"/>
    <w:rsid w:val="0041564F"/>
    <w:rsid w:val="00415C2D"/>
    <w:rsid w:val="00425425"/>
    <w:rsid w:val="00430320"/>
    <w:rsid w:val="004346EE"/>
    <w:rsid w:val="004373AD"/>
    <w:rsid w:val="00437DD1"/>
    <w:rsid w:val="00443EAE"/>
    <w:rsid w:val="004466B3"/>
    <w:rsid w:val="00474743"/>
    <w:rsid w:val="00483787"/>
    <w:rsid w:val="004840C5"/>
    <w:rsid w:val="004857D2"/>
    <w:rsid w:val="00487383"/>
    <w:rsid w:val="00491E13"/>
    <w:rsid w:val="004A0B79"/>
    <w:rsid w:val="004A45A9"/>
    <w:rsid w:val="004C2F7B"/>
    <w:rsid w:val="004D65C3"/>
    <w:rsid w:val="004D6B31"/>
    <w:rsid w:val="004E012B"/>
    <w:rsid w:val="005069DD"/>
    <w:rsid w:val="00510797"/>
    <w:rsid w:val="0051283D"/>
    <w:rsid w:val="0051388E"/>
    <w:rsid w:val="00525D0D"/>
    <w:rsid w:val="00526829"/>
    <w:rsid w:val="00533437"/>
    <w:rsid w:val="00534A48"/>
    <w:rsid w:val="00535B14"/>
    <w:rsid w:val="00541CCF"/>
    <w:rsid w:val="00543464"/>
    <w:rsid w:val="005438D5"/>
    <w:rsid w:val="00550239"/>
    <w:rsid w:val="00560D33"/>
    <w:rsid w:val="005655E2"/>
    <w:rsid w:val="00570AF6"/>
    <w:rsid w:val="00576B4A"/>
    <w:rsid w:val="0058642D"/>
    <w:rsid w:val="00587245"/>
    <w:rsid w:val="0059273A"/>
    <w:rsid w:val="005A034A"/>
    <w:rsid w:val="005C14A0"/>
    <w:rsid w:val="005C5D59"/>
    <w:rsid w:val="005D3AC7"/>
    <w:rsid w:val="005E5845"/>
    <w:rsid w:val="00601E76"/>
    <w:rsid w:val="00607151"/>
    <w:rsid w:val="006209F9"/>
    <w:rsid w:val="00625EC1"/>
    <w:rsid w:val="00630D14"/>
    <w:rsid w:val="00633CF4"/>
    <w:rsid w:val="0063543F"/>
    <w:rsid w:val="006354F3"/>
    <w:rsid w:val="006360CE"/>
    <w:rsid w:val="006426E0"/>
    <w:rsid w:val="00657241"/>
    <w:rsid w:val="0066613E"/>
    <w:rsid w:val="00677396"/>
    <w:rsid w:val="00677757"/>
    <w:rsid w:val="00686C69"/>
    <w:rsid w:val="00687480"/>
    <w:rsid w:val="006A197C"/>
    <w:rsid w:val="006A22C2"/>
    <w:rsid w:val="006A5F12"/>
    <w:rsid w:val="006B4DC3"/>
    <w:rsid w:val="006B5D1A"/>
    <w:rsid w:val="006B63BD"/>
    <w:rsid w:val="006C164F"/>
    <w:rsid w:val="006C36CA"/>
    <w:rsid w:val="006D0225"/>
    <w:rsid w:val="006D2479"/>
    <w:rsid w:val="006D2E62"/>
    <w:rsid w:val="006E40D4"/>
    <w:rsid w:val="006E6CEA"/>
    <w:rsid w:val="006F1C3C"/>
    <w:rsid w:val="006F30D7"/>
    <w:rsid w:val="006F31E0"/>
    <w:rsid w:val="006F44E0"/>
    <w:rsid w:val="00701C92"/>
    <w:rsid w:val="00711B28"/>
    <w:rsid w:val="0071793B"/>
    <w:rsid w:val="00727B07"/>
    <w:rsid w:val="00727B5A"/>
    <w:rsid w:val="007303C2"/>
    <w:rsid w:val="007406C0"/>
    <w:rsid w:val="007441A7"/>
    <w:rsid w:val="00744A4C"/>
    <w:rsid w:val="007476C9"/>
    <w:rsid w:val="007627D5"/>
    <w:rsid w:val="007633A3"/>
    <w:rsid w:val="00764917"/>
    <w:rsid w:val="007664B7"/>
    <w:rsid w:val="007666DE"/>
    <w:rsid w:val="00774BBF"/>
    <w:rsid w:val="00774CD7"/>
    <w:rsid w:val="00775C03"/>
    <w:rsid w:val="00775C42"/>
    <w:rsid w:val="00775CFA"/>
    <w:rsid w:val="0078777B"/>
    <w:rsid w:val="00791A4F"/>
    <w:rsid w:val="00793D26"/>
    <w:rsid w:val="007A1794"/>
    <w:rsid w:val="007A311B"/>
    <w:rsid w:val="007A37B0"/>
    <w:rsid w:val="007A532A"/>
    <w:rsid w:val="007A7A62"/>
    <w:rsid w:val="007C6DFF"/>
    <w:rsid w:val="007E0948"/>
    <w:rsid w:val="007F0BA3"/>
    <w:rsid w:val="008014F5"/>
    <w:rsid w:val="00813025"/>
    <w:rsid w:val="0081372E"/>
    <w:rsid w:val="00814A46"/>
    <w:rsid w:val="00815A11"/>
    <w:rsid w:val="008257F5"/>
    <w:rsid w:val="0083003B"/>
    <w:rsid w:val="00852911"/>
    <w:rsid w:val="00854E2E"/>
    <w:rsid w:val="00863F43"/>
    <w:rsid w:val="008861F4"/>
    <w:rsid w:val="008A0C13"/>
    <w:rsid w:val="008A3B7D"/>
    <w:rsid w:val="008B24FD"/>
    <w:rsid w:val="008B31BA"/>
    <w:rsid w:val="008C22AF"/>
    <w:rsid w:val="008D1131"/>
    <w:rsid w:val="008D5F92"/>
    <w:rsid w:val="008E5951"/>
    <w:rsid w:val="008E7F0A"/>
    <w:rsid w:val="009015DF"/>
    <w:rsid w:val="00905A41"/>
    <w:rsid w:val="0092484A"/>
    <w:rsid w:val="009337AF"/>
    <w:rsid w:val="00952581"/>
    <w:rsid w:val="00956124"/>
    <w:rsid w:val="00971734"/>
    <w:rsid w:val="00971A3A"/>
    <w:rsid w:val="00982A96"/>
    <w:rsid w:val="0098557A"/>
    <w:rsid w:val="009B57E6"/>
    <w:rsid w:val="009D64BA"/>
    <w:rsid w:val="009E1F03"/>
    <w:rsid w:val="009E5247"/>
    <w:rsid w:val="009E6265"/>
    <w:rsid w:val="009F2473"/>
    <w:rsid w:val="00A01820"/>
    <w:rsid w:val="00A01BB8"/>
    <w:rsid w:val="00A034EF"/>
    <w:rsid w:val="00A0482A"/>
    <w:rsid w:val="00A05B8C"/>
    <w:rsid w:val="00A155DC"/>
    <w:rsid w:val="00A15B2F"/>
    <w:rsid w:val="00A346CC"/>
    <w:rsid w:val="00A4076F"/>
    <w:rsid w:val="00A439DD"/>
    <w:rsid w:val="00A53F9B"/>
    <w:rsid w:val="00A60488"/>
    <w:rsid w:val="00A61510"/>
    <w:rsid w:val="00A63CA8"/>
    <w:rsid w:val="00A6627C"/>
    <w:rsid w:val="00A67838"/>
    <w:rsid w:val="00A743D7"/>
    <w:rsid w:val="00A8351B"/>
    <w:rsid w:val="00A84EF4"/>
    <w:rsid w:val="00A8759F"/>
    <w:rsid w:val="00AA37D0"/>
    <w:rsid w:val="00AA3C83"/>
    <w:rsid w:val="00AA7043"/>
    <w:rsid w:val="00AC1DBD"/>
    <w:rsid w:val="00AC43AF"/>
    <w:rsid w:val="00AC7D7A"/>
    <w:rsid w:val="00AD6260"/>
    <w:rsid w:val="00AD7F25"/>
    <w:rsid w:val="00AE5075"/>
    <w:rsid w:val="00AE74DE"/>
    <w:rsid w:val="00AF1783"/>
    <w:rsid w:val="00B01011"/>
    <w:rsid w:val="00B03F5B"/>
    <w:rsid w:val="00B069C8"/>
    <w:rsid w:val="00B10152"/>
    <w:rsid w:val="00B23F8B"/>
    <w:rsid w:val="00B40677"/>
    <w:rsid w:val="00B40DEE"/>
    <w:rsid w:val="00B43583"/>
    <w:rsid w:val="00B4529F"/>
    <w:rsid w:val="00B454BE"/>
    <w:rsid w:val="00B522F5"/>
    <w:rsid w:val="00B60EB8"/>
    <w:rsid w:val="00B61A96"/>
    <w:rsid w:val="00B65B06"/>
    <w:rsid w:val="00B71453"/>
    <w:rsid w:val="00B80F1F"/>
    <w:rsid w:val="00B86586"/>
    <w:rsid w:val="00BA5B98"/>
    <w:rsid w:val="00BB0A3C"/>
    <w:rsid w:val="00BB75D9"/>
    <w:rsid w:val="00BC23CF"/>
    <w:rsid w:val="00BD33BC"/>
    <w:rsid w:val="00BD391F"/>
    <w:rsid w:val="00BD3F06"/>
    <w:rsid w:val="00BE51C8"/>
    <w:rsid w:val="00BE7F6C"/>
    <w:rsid w:val="00BF1E90"/>
    <w:rsid w:val="00C001D5"/>
    <w:rsid w:val="00C12FDB"/>
    <w:rsid w:val="00C22D72"/>
    <w:rsid w:val="00C308B3"/>
    <w:rsid w:val="00C3281E"/>
    <w:rsid w:val="00C45BA5"/>
    <w:rsid w:val="00C76879"/>
    <w:rsid w:val="00C817C7"/>
    <w:rsid w:val="00C83884"/>
    <w:rsid w:val="00C86922"/>
    <w:rsid w:val="00C94DD0"/>
    <w:rsid w:val="00C950C9"/>
    <w:rsid w:val="00CA4215"/>
    <w:rsid w:val="00CA6BDB"/>
    <w:rsid w:val="00CB2D5D"/>
    <w:rsid w:val="00CB7129"/>
    <w:rsid w:val="00CB7F94"/>
    <w:rsid w:val="00CC781B"/>
    <w:rsid w:val="00CD05FE"/>
    <w:rsid w:val="00CD16BB"/>
    <w:rsid w:val="00CD380B"/>
    <w:rsid w:val="00CD5015"/>
    <w:rsid w:val="00CE6032"/>
    <w:rsid w:val="00CE6D40"/>
    <w:rsid w:val="00CE795D"/>
    <w:rsid w:val="00CF2665"/>
    <w:rsid w:val="00D17A2D"/>
    <w:rsid w:val="00D26D2F"/>
    <w:rsid w:val="00D347E0"/>
    <w:rsid w:val="00D45650"/>
    <w:rsid w:val="00D4649D"/>
    <w:rsid w:val="00D5142E"/>
    <w:rsid w:val="00D54A3C"/>
    <w:rsid w:val="00D559F0"/>
    <w:rsid w:val="00D64291"/>
    <w:rsid w:val="00D64C60"/>
    <w:rsid w:val="00D72FF5"/>
    <w:rsid w:val="00D82B9C"/>
    <w:rsid w:val="00D94B0F"/>
    <w:rsid w:val="00DA27F6"/>
    <w:rsid w:val="00DA32E1"/>
    <w:rsid w:val="00DA4B44"/>
    <w:rsid w:val="00DB0992"/>
    <w:rsid w:val="00DC3204"/>
    <w:rsid w:val="00DC34EB"/>
    <w:rsid w:val="00DD632C"/>
    <w:rsid w:val="00DE3DE0"/>
    <w:rsid w:val="00DE4DCB"/>
    <w:rsid w:val="00DF7B74"/>
    <w:rsid w:val="00E00749"/>
    <w:rsid w:val="00E1699C"/>
    <w:rsid w:val="00E169DC"/>
    <w:rsid w:val="00E257C6"/>
    <w:rsid w:val="00E271AA"/>
    <w:rsid w:val="00E32AFE"/>
    <w:rsid w:val="00E37DB8"/>
    <w:rsid w:val="00E40079"/>
    <w:rsid w:val="00E60EF2"/>
    <w:rsid w:val="00E60FE2"/>
    <w:rsid w:val="00E650B7"/>
    <w:rsid w:val="00E84106"/>
    <w:rsid w:val="00E90088"/>
    <w:rsid w:val="00EA66AC"/>
    <w:rsid w:val="00EC0FF0"/>
    <w:rsid w:val="00EC20BD"/>
    <w:rsid w:val="00ED43F5"/>
    <w:rsid w:val="00EF4556"/>
    <w:rsid w:val="00EF7216"/>
    <w:rsid w:val="00F045BE"/>
    <w:rsid w:val="00F07F61"/>
    <w:rsid w:val="00F1683F"/>
    <w:rsid w:val="00F17522"/>
    <w:rsid w:val="00F2064A"/>
    <w:rsid w:val="00F22F4A"/>
    <w:rsid w:val="00F24BC3"/>
    <w:rsid w:val="00F3200C"/>
    <w:rsid w:val="00F349B7"/>
    <w:rsid w:val="00F36230"/>
    <w:rsid w:val="00F37362"/>
    <w:rsid w:val="00F40EC0"/>
    <w:rsid w:val="00F5216E"/>
    <w:rsid w:val="00F64030"/>
    <w:rsid w:val="00F65C22"/>
    <w:rsid w:val="00F81E97"/>
    <w:rsid w:val="00F84F05"/>
    <w:rsid w:val="00F85A07"/>
    <w:rsid w:val="00F900F0"/>
    <w:rsid w:val="00FA75A6"/>
    <w:rsid w:val="00FB35C9"/>
    <w:rsid w:val="00FC285B"/>
    <w:rsid w:val="00FC53B1"/>
    <w:rsid w:val="00FC608A"/>
    <w:rsid w:val="00FC75FB"/>
    <w:rsid w:val="00FD270B"/>
    <w:rsid w:val="00FD5F3B"/>
    <w:rsid w:val="00FE3B8C"/>
    <w:rsid w:val="00FE53BC"/>
    <w:rsid w:val="00FE5B23"/>
    <w:rsid w:val="00FF3950"/>
    <w:rsid w:val="00FF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6BADA"/>
  <w15:chartTrackingRefBased/>
  <w15:docId w15:val="{0B34825D-2372-479F-B6CC-1D87A84A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A2D"/>
  </w:style>
  <w:style w:type="paragraph" w:styleId="Heading1">
    <w:name w:val="heading 1"/>
    <w:basedOn w:val="Normal"/>
    <w:link w:val="Heading1Char"/>
    <w:uiPriority w:val="9"/>
    <w:qFormat/>
    <w:rsid w:val="00525D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A2D"/>
  </w:style>
  <w:style w:type="paragraph" w:styleId="Footer">
    <w:name w:val="footer"/>
    <w:basedOn w:val="Normal"/>
    <w:link w:val="FooterChar"/>
    <w:uiPriority w:val="99"/>
    <w:unhideWhenUsed/>
    <w:rsid w:val="00D17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A2D"/>
  </w:style>
  <w:style w:type="paragraph" w:styleId="ListParagraph">
    <w:name w:val="List Paragraph"/>
    <w:basedOn w:val="Normal"/>
    <w:uiPriority w:val="34"/>
    <w:qFormat/>
    <w:rsid w:val="00D17A2D"/>
    <w:pPr>
      <w:ind w:left="720"/>
      <w:contextualSpacing/>
    </w:pPr>
  </w:style>
  <w:style w:type="paragraph" w:styleId="NormalWeb">
    <w:name w:val="Normal (Web)"/>
    <w:basedOn w:val="Normal"/>
    <w:uiPriority w:val="99"/>
    <w:unhideWhenUsed/>
    <w:rsid w:val="007A53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532A"/>
    <w:rPr>
      <w:color w:val="0563C1" w:themeColor="hyperlink"/>
      <w:u w:val="single"/>
    </w:rPr>
  </w:style>
  <w:style w:type="character" w:styleId="Strong">
    <w:name w:val="Strong"/>
    <w:basedOn w:val="DefaultParagraphFont"/>
    <w:uiPriority w:val="22"/>
    <w:qFormat/>
    <w:rsid w:val="00CE795D"/>
    <w:rPr>
      <w:b/>
      <w:bCs/>
    </w:rPr>
  </w:style>
  <w:style w:type="character" w:styleId="FollowedHyperlink">
    <w:name w:val="FollowedHyperlink"/>
    <w:basedOn w:val="DefaultParagraphFont"/>
    <w:uiPriority w:val="99"/>
    <w:semiHidden/>
    <w:unhideWhenUsed/>
    <w:rsid w:val="00A63CA8"/>
    <w:rPr>
      <w:color w:val="954F72" w:themeColor="followedHyperlink"/>
      <w:u w:val="single"/>
    </w:rPr>
  </w:style>
  <w:style w:type="character" w:customStyle="1" w:styleId="Heading1Char">
    <w:name w:val="Heading 1 Char"/>
    <w:basedOn w:val="DefaultParagraphFont"/>
    <w:link w:val="Heading1"/>
    <w:uiPriority w:val="9"/>
    <w:rsid w:val="00525D0D"/>
    <w:rPr>
      <w:rFonts w:ascii="Times New Roman" w:eastAsia="Times New Roman" w:hAnsi="Times New Roman" w:cs="Times New Roman"/>
      <w:b/>
      <w:bCs/>
      <w:kern w:val="36"/>
      <w:sz w:val="48"/>
      <w:szCs w:val="48"/>
    </w:rPr>
  </w:style>
  <w:style w:type="paragraph" w:customStyle="1" w:styleId="m-120010374081028531gmail-msolistparagraph">
    <w:name w:val="m_-120010374081028531gmail-msolistparagraph"/>
    <w:basedOn w:val="Normal"/>
    <w:rsid w:val="00525D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525D0D"/>
  </w:style>
  <w:style w:type="paragraph" w:styleId="BalloonText">
    <w:name w:val="Balloon Text"/>
    <w:basedOn w:val="Normal"/>
    <w:link w:val="BalloonTextChar"/>
    <w:uiPriority w:val="99"/>
    <w:semiHidden/>
    <w:unhideWhenUsed/>
    <w:rsid w:val="00E650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0B7"/>
    <w:rPr>
      <w:rFonts w:ascii="Segoe UI" w:hAnsi="Segoe UI" w:cs="Segoe UI"/>
      <w:sz w:val="18"/>
      <w:szCs w:val="18"/>
    </w:rPr>
  </w:style>
  <w:style w:type="character" w:styleId="Emphasis">
    <w:name w:val="Emphasis"/>
    <w:basedOn w:val="DefaultParagraphFont"/>
    <w:uiPriority w:val="20"/>
    <w:qFormat/>
    <w:rsid w:val="00677757"/>
    <w:rPr>
      <w:i/>
      <w:iCs/>
    </w:rPr>
  </w:style>
  <w:style w:type="paragraph" w:styleId="NoSpacing">
    <w:name w:val="No Spacing"/>
    <w:uiPriority w:val="1"/>
    <w:qFormat/>
    <w:rsid w:val="00046943"/>
    <w:pPr>
      <w:spacing w:after="0" w:line="240" w:lineRule="auto"/>
    </w:pPr>
  </w:style>
  <w:style w:type="paragraph" w:customStyle="1" w:styleId="Default">
    <w:name w:val="Default"/>
    <w:rsid w:val="00FD270B"/>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6A5F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5F12"/>
    <w:rPr>
      <w:sz w:val="20"/>
      <w:szCs w:val="20"/>
    </w:rPr>
  </w:style>
  <w:style w:type="character" w:styleId="FootnoteReference">
    <w:name w:val="footnote reference"/>
    <w:basedOn w:val="DefaultParagraphFont"/>
    <w:uiPriority w:val="99"/>
    <w:semiHidden/>
    <w:unhideWhenUsed/>
    <w:rsid w:val="006A5F12"/>
    <w:rPr>
      <w:vertAlign w:val="superscript"/>
    </w:rPr>
  </w:style>
  <w:style w:type="paragraph" w:styleId="Revision">
    <w:name w:val="Revision"/>
    <w:hidden/>
    <w:uiPriority w:val="99"/>
    <w:semiHidden/>
    <w:rsid w:val="000940E7"/>
    <w:pPr>
      <w:spacing w:after="0" w:line="240" w:lineRule="auto"/>
    </w:pPr>
  </w:style>
  <w:style w:type="character" w:styleId="UnresolvedMention">
    <w:name w:val="Unresolved Mention"/>
    <w:basedOn w:val="DefaultParagraphFont"/>
    <w:uiPriority w:val="99"/>
    <w:semiHidden/>
    <w:unhideWhenUsed/>
    <w:rsid w:val="00C22D72"/>
    <w:rPr>
      <w:color w:val="605E5C"/>
      <w:shd w:val="clear" w:color="auto" w:fill="E1DFDD"/>
    </w:rPr>
  </w:style>
  <w:style w:type="character" w:styleId="CommentReference">
    <w:name w:val="annotation reference"/>
    <w:basedOn w:val="DefaultParagraphFont"/>
    <w:uiPriority w:val="99"/>
    <w:semiHidden/>
    <w:unhideWhenUsed/>
    <w:rsid w:val="004346EE"/>
    <w:rPr>
      <w:sz w:val="16"/>
      <w:szCs w:val="16"/>
    </w:rPr>
  </w:style>
  <w:style w:type="paragraph" w:styleId="CommentText">
    <w:name w:val="annotation text"/>
    <w:basedOn w:val="Normal"/>
    <w:link w:val="CommentTextChar"/>
    <w:uiPriority w:val="99"/>
    <w:unhideWhenUsed/>
    <w:rsid w:val="004346EE"/>
    <w:pPr>
      <w:spacing w:line="240" w:lineRule="auto"/>
    </w:pPr>
    <w:rPr>
      <w:sz w:val="20"/>
      <w:szCs w:val="20"/>
    </w:rPr>
  </w:style>
  <w:style w:type="character" w:customStyle="1" w:styleId="CommentTextChar">
    <w:name w:val="Comment Text Char"/>
    <w:basedOn w:val="DefaultParagraphFont"/>
    <w:link w:val="CommentText"/>
    <w:uiPriority w:val="99"/>
    <w:rsid w:val="004346EE"/>
    <w:rPr>
      <w:sz w:val="20"/>
      <w:szCs w:val="20"/>
    </w:rPr>
  </w:style>
  <w:style w:type="paragraph" w:styleId="CommentSubject">
    <w:name w:val="annotation subject"/>
    <w:basedOn w:val="CommentText"/>
    <w:next w:val="CommentText"/>
    <w:link w:val="CommentSubjectChar"/>
    <w:uiPriority w:val="99"/>
    <w:semiHidden/>
    <w:unhideWhenUsed/>
    <w:rsid w:val="004346EE"/>
    <w:rPr>
      <w:b/>
      <w:bCs/>
    </w:rPr>
  </w:style>
  <w:style w:type="character" w:customStyle="1" w:styleId="CommentSubjectChar">
    <w:name w:val="Comment Subject Char"/>
    <w:basedOn w:val="CommentTextChar"/>
    <w:link w:val="CommentSubject"/>
    <w:uiPriority w:val="99"/>
    <w:semiHidden/>
    <w:rsid w:val="004346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06766">
      <w:bodyDiv w:val="1"/>
      <w:marLeft w:val="0"/>
      <w:marRight w:val="0"/>
      <w:marTop w:val="0"/>
      <w:marBottom w:val="0"/>
      <w:divBdr>
        <w:top w:val="none" w:sz="0" w:space="0" w:color="auto"/>
        <w:left w:val="none" w:sz="0" w:space="0" w:color="auto"/>
        <w:bottom w:val="none" w:sz="0" w:space="0" w:color="auto"/>
        <w:right w:val="none" w:sz="0" w:space="0" w:color="auto"/>
      </w:divBdr>
    </w:div>
    <w:div w:id="305935761">
      <w:bodyDiv w:val="1"/>
      <w:marLeft w:val="0"/>
      <w:marRight w:val="0"/>
      <w:marTop w:val="0"/>
      <w:marBottom w:val="0"/>
      <w:divBdr>
        <w:top w:val="none" w:sz="0" w:space="0" w:color="auto"/>
        <w:left w:val="none" w:sz="0" w:space="0" w:color="auto"/>
        <w:bottom w:val="none" w:sz="0" w:space="0" w:color="auto"/>
        <w:right w:val="none" w:sz="0" w:space="0" w:color="auto"/>
      </w:divBdr>
    </w:div>
    <w:div w:id="648286154">
      <w:bodyDiv w:val="1"/>
      <w:marLeft w:val="0"/>
      <w:marRight w:val="0"/>
      <w:marTop w:val="0"/>
      <w:marBottom w:val="0"/>
      <w:divBdr>
        <w:top w:val="none" w:sz="0" w:space="0" w:color="auto"/>
        <w:left w:val="none" w:sz="0" w:space="0" w:color="auto"/>
        <w:bottom w:val="none" w:sz="0" w:space="0" w:color="auto"/>
        <w:right w:val="none" w:sz="0" w:space="0" w:color="auto"/>
      </w:divBdr>
      <w:divsChild>
        <w:div w:id="956644574">
          <w:marLeft w:val="300"/>
          <w:marRight w:val="0"/>
          <w:marTop w:val="90"/>
          <w:marBottom w:val="300"/>
          <w:divBdr>
            <w:top w:val="none" w:sz="0" w:space="0" w:color="auto"/>
            <w:left w:val="none" w:sz="0" w:space="0" w:color="auto"/>
            <w:bottom w:val="none" w:sz="0" w:space="0" w:color="auto"/>
            <w:right w:val="none" w:sz="0" w:space="0" w:color="auto"/>
          </w:divBdr>
        </w:div>
      </w:divsChild>
    </w:div>
    <w:div w:id="805659492">
      <w:bodyDiv w:val="1"/>
      <w:marLeft w:val="0"/>
      <w:marRight w:val="0"/>
      <w:marTop w:val="0"/>
      <w:marBottom w:val="0"/>
      <w:divBdr>
        <w:top w:val="none" w:sz="0" w:space="0" w:color="auto"/>
        <w:left w:val="none" w:sz="0" w:space="0" w:color="auto"/>
        <w:bottom w:val="none" w:sz="0" w:space="0" w:color="auto"/>
        <w:right w:val="none" w:sz="0" w:space="0" w:color="auto"/>
      </w:divBdr>
    </w:div>
    <w:div w:id="887179309">
      <w:bodyDiv w:val="1"/>
      <w:marLeft w:val="0"/>
      <w:marRight w:val="0"/>
      <w:marTop w:val="0"/>
      <w:marBottom w:val="0"/>
      <w:divBdr>
        <w:top w:val="none" w:sz="0" w:space="0" w:color="auto"/>
        <w:left w:val="none" w:sz="0" w:space="0" w:color="auto"/>
        <w:bottom w:val="none" w:sz="0" w:space="0" w:color="auto"/>
        <w:right w:val="none" w:sz="0" w:space="0" w:color="auto"/>
      </w:divBdr>
    </w:div>
    <w:div w:id="1582909381">
      <w:bodyDiv w:val="1"/>
      <w:marLeft w:val="0"/>
      <w:marRight w:val="0"/>
      <w:marTop w:val="0"/>
      <w:marBottom w:val="0"/>
      <w:divBdr>
        <w:top w:val="none" w:sz="0" w:space="0" w:color="auto"/>
        <w:left w:val="none" w:sz="0" w:space="0" w:color="auto"/>
        <w:bottom w:val="none" w:sz="0" w:space="0" w:color="auto"/>
        <w:right w:val="none" w:sz="0" w:space="0" w:color="auto"/>
      </w:divBdr>
    </w:div>
    <w:div w:id="1886604880">
      <w:bodyDiv w:val="1"/>
      <w:marLeft w:val="0"/>
      <w:marRight w:val="0"/>
      <w:marTop w:val="0"/>
      <w:marBottom w:val="0"/>
      <w:divBdr>
        <w:top w:val="none" w:sz="0" w:space="0" w:color="auto"/>
        <w:left w:val="none" w:sz="0" w:space="0" w:color="auto"/>
        <w:bottom w:val="none" w:sz="0" w:space="0" w:color="auto"/>
        <w:right w:val="none" w:sz="0" w:space="0" w:color="auto"/>
      </w:divBdr>
    </w:div>
    <w:div w:id="1982347069">
      <w:bodyDiv w:val="1"/>
      <w:marLeft w:val="0"/>
      <w:marRight w:val="0"/>
      <w:marTop w:val="0"/>
      <w:marBottom w:val="0"/>
      <w:divBdr>
        <w:top w:val="none" w:sz="0" w:space="0" w:color="auto"/>
        <w:left w:val="none" w:sz="0" w:space="0" w:color="auto"/>
        <w:bottom w:val="none" w:sz="0" w:space="0" w:color="auto"/>
        <w:right w:val="none" w:sz="0" w:space="0" w:color="auto"/>
      </w:divBdr>
    </w:div>
    <w:div w:id="212391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asa.org/stats-info/statistics"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_rels/footnotes.xml.rels><?xml version="1.0" encoding="UTF-8" standalone="yes"?>
<Relationships xmlns="http://schemas.openxmlformats.org/package/2006/relationships"><Relationship Id="rId8" Type="http://schemas.openxmlformats.org/officeDocument/2006/relationships/hyperlink" Target="https://health.maryland.gov/pophealth/pages/rural-health.aspx" TargetMode="External"/><Relationship Id="rId13" Type="http://schemas.openxmlformats.org/officeDocument/2006/relationships/hyperlink" Target="https://data.census.gov/profile/Allegany_County,_Maryland?g=050XX00US24001" TargetMode="External"/><Relationship Id="rId18" Type="http://schemas.openxmlformats.org/officeDocument/2006/relationships/hyperlink" Target="https://data.census.gov/profile/Charles_County,_Maryland?g=050XX00US24017" TargetMode="External"/><Relationship Id="rId26" Type="http://schemas.openxmlformats.org/officeDocument/2006/relationships/hyperlink" Target="https://data.census.gov/profile/St._Mary%27s_County,_Maryland?g=050XX00US24037" TargetMode="External"/><Relationship Id="rId3" Type="http://schemas.openxmlformats.org/officeDocument/2006/relationships/hyperlink" Target="https://pmc.ncbi.nlm.nih.gov/articles/PMC9827725/pdf/nihms-1851104.pdf" TargetMode="External"/><Relationship Id="rId21" Type="http://schemas.openxmlformats.org/officeDocument/2006/relationships/hyperlink" Target="https://data.census.gov/profile/Garrett_County,_Maryland?g=050XX00US24023" TargetMode="External"/><Relationship Id="rId7" Type="http://schemas.openxmlformats.org/officeDocument/2006/relationships/hyperlink" Target="https://health.maryland.gov/pophealth/pages/rural-health.aspx" TargetMode="External"/><Relationship Id="rId12" Type="http://schemas.openxmlformats.org/officeDocument/2006/relationships/hyperlink" Target="https://data.census.gov/profile/Maryland?g=040XX00US24" TargetMode="External"/><Relationship Id="rId17" Type="http://schemas.openxmlformats.org/officeDocument/2006/relationships/hyperlink" Target="https://data.census.gov/profile/Cecil_County,_Maryland?g=050XX00US24015" TargetMode="External"/><Relationship Id="rId25" Type="http://schemas.openxmlformats.org/officeDocument/2006/relationships/hyperlink" Target="https://data.census.gov/profile/Somerset_County,_Maryland?g=050XX00US24039" TargetMode="External"/><Relationship Id="rId2" Type="http://schemas.openxmlformats.org/officeDocument/2006/relationships/hyperlink" Target="https://health.maryland.gov/pophealth/Documents/Rural%20Health/MDRH-Plan-2018.pdf" TargetMode="External"/><Relationship Id="rId16" Type="http://schemas.openxmlformats.org/officeDocument/2006/relationships/hyperlink" Target="https://data.census.gov/profile/Carroll_County,_Maryland?g=050XX00US24013" TargetMode="External"/><Relationship Id="rId20" Type="http://schemas.openxmlformats.org/officeDocument/2006/relationships/hyperlink" Target="https://data.census.gov/profile/Frederick_County,_Maryland?g=050XX00US24021" TargetMode="External"/><Relationship Id="rId29" Type="http://schemas.openxmlformats.org/officeDocument/2006/relationships/hyperlink" Target="https://data.census.gov/profile/Wicomico_County,_Maryland?g=050XX00US24045" TargetMode="External"/><Relationship Id="rId1" Type="http://schemas.openxmlformats.org/officeDocument/2006/relationships/hyperlink" Target="https://socialwork.uw.edu/admissions/oppression-definition/" TargetMode="External"/><Relationship Id="rId6" Type="http://schemas.openxmlformats.org/officeDocument/2006/relationships/hyperlink" Target="https://vawnet.org/sc/how-faithreligion-can-best-meet-needs-abuse-survivors-those-who-cause-harm/applying" TargetMode="External"/><Relationship Id="rId11" Type="http://schemas.openxmlformats.org/officeDocument/2006/relationships/hyperlink" Target="https://www.cdc.gov/sexual-violence/risk-factors/index.html" TargetMode="External"/><Relationship Id="rId24" Type="http://schemas.openxmlformats.org/officeDocument/2006/relationships/hyperlink" Target="https://data.census.gov/profile/Queen_Anne%27s_County,_Maryland?g=050XX00US24035" TargetMode="External"/><Relationship Id="rId5" Type="http://schemas.openxmlformats.org/officeDocument/2006/relationships/hyperlink" Target="https://journals.brandonu.ca/jrcd/article/view/2225/605" TargetMode="External"/><Relationship Id="rId15" Type="http://schemas.openxmlformats.org/officeDocument/2006/relationships/hyperlink" Target="https://data.census.gov/profile/Caroline_County,_Maryland?g=050XX00US24011" TargetMode="External"/><Relationship Id="rId23" Type="http://schemas.openxmlformats.org/officeDocument/2006/relationships/hyperlink" Target="https://data.census.gov/profile/Kent_County,_Maryland?g=050XX00US24029" TargetMode="External"/><Relationship Id="rId28" Type="http://schemas.openxmlformats.org/officeDocument/2006/relationships/hyperlink" Target="https://data.census.gov/profile/Washington_County,_Maryland?g=050XX00US24043" TargetMode="External"/><Relationship Id="rId10" Type="http://schemas.openxmlformats.org/officeDocument/2006/relationships/hyperlink" Target="https://journals.sagepub.com/doi/10.1089/jwh.2011.2891" TargetMode="External"/><Relationship Id="rId19" Type="http://schemas.openxmlformats.org/officeDocument/2006/relationships/hyperlink" Target="https://data.census.gov/profile/Dorchester_County,_Maryland?g=050XX00US24019" TargetMode="External"/><Relationship Id="rId31" Type="http://schemas.openxmlformats.org/officeDocument/2006/relationships/hyperlink" Target="https://map.feedingamerica.org/county/2024/overall/maryland" TargetMode="External"/><Relationship Id="rId4" Type="http://schemas.openxmlformats.org/officeDocument/2006/relationships/hyperlink" Target="https://pmc.ncbi.nlm.nih.gov/articles/PMC8373718/pdf/nihms-1709004.pdf" TargetMode="External"/><Relationship Id="rId9" Type="http://schemas.openxmlformats.org/officeDocument/2006/relationships/hyperlink" Target="https://scholars.fhsu.edu/cgi/viewcontent.cgi?article=1113&amp;context=aljsr" TargetMode="External"/><Relationship Id="rId14" Type="http://schemas.openxmlformats.org/officeDocument/2006/relationships/hyperlink" Target="https://data.census.gov/profile/Calvert_County,_Maryland?g=050XX00US24009" TargetMode="External"/><Relationship Id="rId22" Type="http://schemas.openxmlformats.org/officeDocument/2006/relationships/hyperlink" Target="https://data.census.gov/profile/Harford_County,_Maryland?g=050XX00US24025" TargetMode="External"/><Relationship Id="rId27" Type="http://schemas.openxmlformats.org/officeDocument/2006/relationships/hyperlink" Target="https://data.census.gov/profile/Talbot_County,_Maryland?g=050XX00US24041" TargetMode="External"/><Relationship Id="rId30" Type="http://schemas.openxmlformats.org/officeDocument/2006/relationships/hyperlink" Target="https://data.census.gov/profile/Worcester_County,_Maryland?g=050XX00US2404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70090-6783-49B5-BF10-BA25E8874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Rachel</cp:lastModifiedBy>
  <cp:revision>3</cp:revision>
  <cp:lastPrinted>2018-06-07T19:28:00Z</cp:lastPrinted>
  <dcterms:created xsi:type="dcterms:W3CDTF">2026-08-26T18:11:00Z</dcterms:created>
  <dcterms:modified xsi:type="dcterms:W3CDTF">2026-10-21T14:10:00Z</dcterms:modified>
</cp:coreProperties>
</file>